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5BE025B3" w:rsidR="00A70556" w:rsidRDefault="000865D2" w:rsidP="0034573D">
            <w:pPr>
              <w:spacing w:after="0" w:line="276" w:lineRule="auto"/>
            </w:pPr>
            <w:r>
              <w:t>Evaluación de Diseño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883B3D" w14:paraId="1D014C1E" w14:textId="77777777" w:rsidTr="009F4211">
        <w:trPr>
          <w:trHeight w:val="340"/>
        </w:trPr>
        <w:tc>
          <w:tcPr>
            <w:tcW w:w="4712" w:type="dxa"/>
            <w:gridSpan w:val="2"/>
            <w:shd w:val="clear" w:color="auto" w:fill="auto"/>
            <w:vAlign w:val="center"/>
          </w:tcPr>
          <w:p w14:paraId="404D8B68" w14:textId="62899227" w:rsidR="00883B3D" w:rsidRPr="004B0FA0" w:rsidRDefault="00883B3D" w:rsidP="00883B3D">
            <w:pPr>
              <w:spacing w:after="0" w:line="276" w:lineRule="auto"/>
              <w:jc w:val="center"/>
              <w:rPr>
                <w:b/>
                <w:bCs/>
              </w:rPr>
            </w:pPr>
            <w:r w:rsidRPr="008021A5">
              <w:rPr>
                <w:bCs/>
              </w:rPr>
              <w:t>01/07/2023</w:t>
            </w:r>
          </w:p>
        </w:tc>
        <w:tc>
          <w:tcPr>
            <w:tcW w:w="5206" w:type="dxa"/>
            <w:gridSpan w:val="2"/>
            <w:shd w:val="clear" w:color="auto" w:fill="auto"/>
            <w:vAlign w:val="center"/>
          </w:tcPr>
          <w:p w14:paraId="79E9E4F4" w14:textId="52B8DFF9" w:rsidR="00883B3D" w:rsidRPr="00A70556" w:rsidRDefault="00883B3D" w:rsidP="00883B3D">
            <w:pPr>
              <w:spacing w:after="0" w:line="276" w:lineRule="auto"/>
              <w:jc w:val="center"/>
              <w:rPr>
                <w:b/>
                <w:bCs/>
              </w:rPr>
            </w:pPr>
            <w:r w:rsidRPr="008021A5">
              <w:rPr>
                <w:bCs/>
              </w:rPr>
              <w:t>31/12/2023</w:t>
            </w:r>
          </w:p>
        </w:tc>
      </w:tr>
      <w:tr w:rsidR="00883B3D"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883B3D" w:rsidRPr="00581B4A" w:rsidRDefault="00883B3D" w:rsidP="00883B3D">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883B3D" w14:paraId="37454C6A" w14:textId="77777777" w:rsidTr="00E06043">
        <w:trPr>
          <w:trHeight w:val="340"/>
        </w:trPr>
        <w:tc>
          <w:tcPr>
            <w:tcW w:w="9918" w:type="dxa"/>
            <w:gridSpan w:val="4"/>
            <w:shd w:val="clear" w:color="auto" w:fill="auto"/>
          </w:tcPr>
          <w:p w14:paraId="78C4F704" w14:textId="14FCAA6F" w:rsidR="00883B3D" w:rsidRPr="00581B4A" w:rsidRDefault="00883B3D" w:rsidP="00883B3D">
            <w:pPr>
              <w:pStyle w:val="Prrafodelista"/>
              <w:spacing w:after="0" w:line="276" w:lineRule="auto"/>
              <w:ind w:left="37"/>
              <w:jc w:val="both"/>
              <w:rPr>
                <w:b/>
                <w:bCs/>
              </w:rPr>
            </w:pPr>
            <w:r w:rsidRPr="00067A95">
              <w:rPr>
                <w:bCs/>
              </w:rPr>
              <w:t>Dr. Juan de Dios Trujillo Félix, Director de Valor Agregado</w:t>
            </w:r>
          </w:p>
        </w:tc>
      </w:tr>
      <w:tr w:rsidR="00883B3D"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883B3D" w:rsidRPr="00BB178B" w:rsidRDefault="00883B3D" w:rsidP="00883B3D">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4C3647C5" w:rsidR="00B920F2" w:rsidRDefault="00883B3D" w:rsidP="00883B3D">
      <w:pPr>
        <w:pStyle w:val="Prrafodelista"/>
        <w:spacing w:after="0" w:line="240" w:lineRule="auto"/>
        <w:ind w:left="142"/>
        <w:jc w:val="both"/>
      </w:pPr>
      <w:r w:rsidRPr="00883B3D">
        <w:t>Evaluar el diseño del Programa presupuestario (Pp) F 064 Fomento a la Agricultura -E007 Coberturas Anticipadas para Garantizar Precios Mínimos de Maíz en Apoyo a Pequeños Productores,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B17E606" w14:textId="77777777" w:rsidR="00883B3D" w:rsidRDefault="00883B3D" w:rsidP="00883B3D">
      <w:pPr>
        <w:pStyle w:val="Prrafodelista"/>
        <w:numPr>
          <w:ilvl w:val="0"/>
          <w:numId w:val="2"/>
        </w:numPr>
        <w:spacing w:after="0" w:line="276" w:lineRule="auto"/>
        <w:jc w:val="both"/>
      </w:pPr>
      <w:r>
        <w:t>Analizar el problema o necesidad pública que justifica la creación o cambio sustancial del Pp.</w:t>
      </w:r>
    </w:p>
    <w:p w14:paraId="3EE06DB7" w14:textId="77777777" w:rsidR="00883B3D" w:rsidRDefault="00883B3D" w:rsidP="00883B3D">
      <w:pPr>
        <w:pStyle w:val="Prrafodelista"/>
        <w:numPr>
          <w:ilvl w:val="0"/>
          <w:numId w:val="2"/>
        </w:numPr>
        <w:spacing w:after="0" w:line="276" w:lineRule="auto"/>
        <w:jc w:val="both"/>
      </w:pPr>
      <w:r>
        <w:t>Analizar la pertinencia del diseño del Pp respecto al problema o necesidad pública que busca atender.</w:t>
      </w:r>
    </w:p>
    <w:p w14:paraId="42DDD0C9" w14:textId="77777777" w:rsidR="00883B3D" w:rsidRDefault="00883B3D" w:rsidP="00883B3D">
      <w:pPr>
        <w:pStyle w:val="Prrafodelista"/>
        <w:numPr>
          <w:ilvl w:val="0"/>
          <w:numId w:val="2"/>
        </w:numPr>
        <w:spacing w:after="0" w:line="276" w:lineRule="auto"/>
        <w:jc w:val="both"/>
      </w:pPr>
      <w:r>
        <w:t xml:space="preserve">Analizar la consistencia entre el diseño del Pp y la normatividad vigente aplicable. </w:t>
      </w:r>
    </w:p>
    <w:p w14:paraId="529F778D" w14:textId="77777777" w:rsidR="00883B3D" w:rsidRDefault="00883B3D" w:rsidP="00883B3D">
      <w:pPr>
        <w:pStyle w:val="Prrafodelista"/>
        <w:numPr>
          <w:ilvl w:val="0"/>
          <w:numId w:val="2"/>
        </w:numPr>
        <w:spacing w:after="0" w:line="276" w:lineRule="auto"/>
        <w:jc w:val="both"/>
      </w:pPr>
      <w:r>
        <w:t xml:space="preserve">Analizar la contribución del Pp al cumplimiento de los objetivos de la planeación estatal, nacional y estratégicos. </w:t>
      </w:r>
    </w:p>
    <w:p w14:paraId="4ABA2F78" w14:textId="77777777" w:rsidR="00883B3D" w:rsidRDefault="00883B3D" w:rsidP="00883B3D">
      <w:pPr>
        <w:pStyle w:val="Prrafodelista"/>
        <w:numPr>
          <w:ilvl w:val="0"/>
          <w:numId w:val="2"/>
        </w:numPr>
        <w:spacing w:after="0" w:line="276" w:lineRule="auto"/>
        <w:jc w:val="both"/>
      </w:pPr>
      <w:r>
        <w:t>Identificar posibles complementariedades o similitudes, así como riesgo de duplicidades con otros Pp de la APE.</w:t>
      </w:r>
    </w:p>
    <w:p w14:paraId="63BBE0DD" w14:textId="77777777" w:rsidR="00883B3D" w:rsidRDefault="00883B3D" w:rsidP="00883B3D">
      <w:pPr>
        <w:pStyle w:val="Prrafodelista"/>
        <w:numPr>
          <w:ilvl w:val="0"/>
          <w:numId w:val="2"/>
        </w:numPr>
        <w:spacing w:after="0" w:line="276" w:lineRule="auto"/>
        <w:jc w:val="both"/>
      </w:pPr>
      <w:r>
        <w:t xml:space="preserve">Analizar la consistencia del Instrumento de Seguimiento del Desempeño respecto al diseño del Pp. </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25BD90D"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883B3D">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461A5C6E" w:rsidR="00581B4A" w:rsidRPr="00581B4A" w:rsidRDefault="00EC7832" w:rsidP="00883B3D">
            <w:pPr>
              <w:spacing w:after="0" w:line="276" w:lineRule="auto"/>
              <w:jc w:val="center"/>
              <w:rPr>
                <w:b/>
                <w:bCs/>
              </w:rPr>
            </w:pPr>
            <w:r>
              <w:t>d</w:t>
            </w:r>
            <w:r w:rsidR="0034573D">
              <w:t xml:space="preserve">e </w:t>
            </w:r>
            <w:r w:rsidR="00883B3D">
              <w:t>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49E95715" w14:textId="77777777" w:rsidR="00883B3D" w:rsidRDefault="00883B3D" w:rsidP="00883B3D">
      <w:pPr>
        <w:ind w:left="284"/>
        <w:jc w:val="both"/>
      </w:pPr>
      <w:r>
        <w:t xml:space="preserve">El Programa Pp F 064 Fomento a la Agricultura surge a partir de la necesidad de atender al sector desprotegido del campo, promoviendo la productividad, el desarrollo y la resiliencia de los pequeños y </w:t>
      </w:r>
      <w:r>
        <w:lastRenderedPageBreak/>
        <w:t xml:space="preserve">medianos productores de los agricultores sinaloenses. Este Pp forma parte de la política pública que actualmente implementa el Gobierno del Estado y que se ve plasmada en las metas descritas en los documentos normativos y de planeación para alcanzar en el 2027. Así mismo, los programas presupuestarios se componen de proyectos, en este caso el Pp F 064, contiene los siguientes: Establecimiento de Praderas, Apoyo a Temporaleros, así como Coberturas Anticipadas para Garantizar Precios Mínimos de Maíz en Apoyo a Pequeños Productores. </w:t>
      </w:r>
    </w:p>
    <w:p w14:paraId="76A64F9A" w14:textId="44E0F534" w:rsidR="00113BCD" w:rsidRDefault="00883B3D" w:rsidP="00883B3D">
      <w:pPr>
        <w:ind w:left="284"/>
        <w:jc w:val="both"/>
      </w:pPr>
      <w:r>
        <w:t>El objeto de estudio de la presente evaluación de diseño se basa en el proyecto es el E007 Coberturas Anticipadas para Garantizar Precios Mínimos de maíz en Apoyo a Pequeños Productores.</w:t>
      </w:r>
    </w:p>
    <w:p w14:paraId="5BEB7897" w14:textId="77777777" w:rsidR="00883B3D" w:rsidRDefault="00883B3D" w:rsidP="00883B3D">
      <w:pPr>
        <w:ind w:left="284"/>
        <w:jc w:val="both"/>
      </w:pPr>
      <w:r>
        <w:t>El objetivo general del proyecto de estudio que pertenece al Pp es: Contribuir a consolidar la cultura del agricultor de adquirir y detentar instrumentos de administración de riesgos, que mitiguen los efectos negativos que generan la volatilidad de los precios futuros en los mercados internacionales de granos, así como, propiciar que los agricultores sinaloenses mantengan la capacidad competitiva y su rentabilidad, con la finalidad mantener la producción de alimentos para el Estado y la Nación, reactivar la actividad económica de todas las cadenas productivas del Estado y evitar el deterioro del nivel de vida de los productores primarios.</w:t>
      </w:r>
    </w:p>
    <w:p w14:paraId="052BB611" w14:textId="737E19A9" w:rsidR="00883B3D" w:rsidRPr="002F6A18" w:rsidRDefault="00883B3D" w:rsidP="00883B3D">
      <w:pPr>
        <w:ind w:left="284"/>
        <w:jc w:val="both"/>
      </w:pPr>
      <w:r>
        <w:t>Según las Reglas de Operación (ROP) el objetivo específico es el siguiente: Establecer los instrumentos de administración de riesgos, para hacer frente a la problemática de comercialización del maíz motivados por la volatilidad de los precios futuros en el mercado internacional.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3A39C1FA" w14:textId="55B40F05" w:rsidR="003E1018" w:rsidRPr="00883B3D" w:rsidRDefault="00B72B03" w:rsidP="009D1166">
      <w:pPr>
        <w:pStyle w:val="Prrafodelista"/>
        <w:numPr>
          <w:ilvl w:val="2"/>
          <w:numId w:val="5"/>
        </w:numPr>
        <w:spacing w:after="0" w:line="276" w:lineRule="auto"/>
        <w:ind w:left="993" w:hanging="567"/>
        <w:jc w:val="both"/>
        <w:rPr>
          <w:b/>
          <w:bCs/>
        </w:rPr>
      </w:pPr>
      <w:r w:rsidRPr="00883B3D">
        <w:rPr>
          <w:b/>
          <w:bCs/>
        </w:rPr>
        <w:t>Fortalezas</w:t>
      </w:r>
      <w:r w:rsidR="00883B3D" w:rsidRPr="00883B3D">
        <w:rPr>
          <w:b/>
          <w:bCs/>
        </w:rPr>
        <w:t xml:space="preserve"> y/u </w:t>
      </w:r>
      <w:r w:rsidR="00883B3D">
        <w:rPr>
          <w:b/>
          <w:bCs/>
        </w:rPr>
        <w:t>o</w:t>
      </w:r>
      <w:r w:rsidR="003E1018" w:rsidRPr="00883B3D">
        <w:rPr>
          <w:b/>
          <w:bCs/>
        </w:rPr>
        <w:t xml:space="preserve">portunidades: </w:t>
      </w:r>
    </w:p>
    <w:p w14:paraId="5ED06120" w14:textId="77777777" w:rsidR="00883B3D" w:rsidRDefault="00883B3D" w:rsidP="00883B3D">
      <w:pPr>
        <w:pStyle w:val="Prrafodelista"/>
        <w:numPr>
          <w:ilvl w:val="0"/>
          <w:numId w:val="8"/>
        </w:numPr>
        <w:spacing w:line="276" w:lineRule="auto"/>
        <w:jc w:val="both"/>
      </w:pPr>
      <w:r>
        <w:t>Se retoman las experiencias de acciones como las que realiza Gobierno Federal. Aun así, es conveniente conocer los resultados del mismo para poder considerar la pertinencia y viabilidad del programa.</w:t>
      </w:r>
    </w:p>
    <w:p w14:paraId="7B2AF8A4" w14:textId="58785F11" w:rsidR="00883B3D" w:rsidRDefault="00883B3D" w:rsidP="00883B3D">
      <w:pPr>
        <w:pStyle w:val="Prrafodelista"/>
        <w:numPr>
          <w:ilvl w:val="0"/>
          <w:numId w:val="8"/>
        </w:numPr>
        <w:spacing w:line="276" w:lineRule="auto"/>
        <w:jc w:val="both"/>
      </w:pPr>
      <w:r>
        <w:t>El programa presupuestario se sustenta en documentos normativos, beneficia a la población objetivo, tiene definida la problemática que afecta al sector agrícola del estado de Sinaloa.</w:t>
      </w:r>
    </w:p>
    <w:p w14:paraId="545FCF04" w14:textId="3A919A9F" w:rsidR="00B72B03" w:rsidRPr="00B72B03" w:rsidRDefault="00883B3D" w:rsidP="00883B3D">
      <w:pPr>
        <w:pStyle w:val="Prrafodelista"/>
        <w:numPr>
          <w:ilvl w:val="0"/>
          <w:numId w:val="8"/>
        </w:numPr>
        <w:spacing w:line="276" w:lineRule="auto"/>
        <w:jc w:val="both"/>
      </w:pPr>
      <w:r>
        <w:t>Existe un planteamiento de la relación que existe entre el Pp/Proyecto mantiene relación con los objetivos estratégicos, sin embargo, debe haber congruencia con las metas de cada una.</w:t>
      </w:r>
    </w:p>
    <w:p w14:paraId="22DADFD3" w14:textId="0A0C5593" w:rsidR="003E1018" w:rsidRPr="00883B3D" w:rsidRDefault="003E1018" w:rsidP="008E544D">
      <w:pPr>
        <w:pStyle w:val="Prrafodelista"/>
        <w:numPr>
          <w:ilvl w:val="2"/>
          <w:numId w:val="5"/>
        </w:numPr>
        <w:spacing w:after="0" w:line="276" w:lineRule="auto"/>
        <w:ind w:left="993" w:hanging="567"/>
        <w:jc w:val="both"/>
        <w:rPr>
          <w:b/>
          <w:bCs/>
        </w:rPr>
      </w:pPr>
      <w:r w:rsidRPr="00883B3D">
        <w:rPr>
          <w:b/>
          <w:bCs/>
        </w:rPr>
        <w:t>Debilidades</w:t>
      </w:r>
      <w:r w:rsidR="00883B3D" w:rsidRPr="00883B3D">
        <w:rPr>
          <w:b/>
          <w:bCs/>
        </w:rPr>
        <w:t xml:space="preserve"> y/o </w:t>
      </w:r>
      <w:r w:rsidR="00883B3D">
        <w:rPr>
          <w:b/>
          <w:bCs/>
        </w:rPr>
        <w:t>a</w:t>
      </w:r>
      <w:r w:rsidRPr="00883B3D">
        <w:rPr>
          <w:b/>
          <w:bCs/>
        </w:rPr>
        <w:t>menazas:</w:t>
      </w:r>
    </w:p>
    <w:p w14:paraId="4673D46A" w14:textId="77777777" w:rsidR="00883B3D" w:rsidRDefault="00883B3D" w:rsidP="00883B3D">
      <w:pPr>
        <w:pStyle w:val="Prrafodelista"/>
        <w:numPr>
          <w:ilvl w:val="0"/>
          <w:numId w:val="8"/>
        </w:numPr>
        <w:spacing w:line="276" w:lineRule="auto"/>
        <w:jc w:val="both"/>
      </w:pPr>
      <w:r>
        <w:t>No se cuenta con un diagnóstico que permita conocer los antecedentes, causas y efectos del problema que el Pp busca atender.</w:t>
      </w:r>
    </w:p>
    <w:p w14:paraId="64A8C42B" w14:textId="77777777" w:rsidR="00883B3D" w:rsidRDefault="00883B3D" w:rsidP="00883B3D">
      <w:pPr>
        <w:pStyle w:val="Prrafodelista"/>
        <w:numPr>
          <w:ilvl w:val="0"/>
          <w:numId w:val="8"/>
        </w:numPr>
        <w:spacing w:line="276" w:lineRule="auto"/>
        <w:jc w:val="both"/>
      </w:pPr>
      <w:r>
        <w:t>Las ROP no establecen una sola problemática que defina de manera clara el problema que da origen al programa</w:t>
      </w:r>
    </w:p>
    <w:p w14:paraId="397A8169" w14:textId="77777777" w:rsidR="00883B3D" w:rsidRDefault="00883B3D" w:rsidP="00883B3D">
      <w:pPr>
        <w:pStyle w:val="Prrafodelista"/>
        <w:numPr>
          <w:ilvl w:val="0"/>
          <w:numId w:val="8"/>
        </w:numPr>
        <w:spacing w:line="276" w:lineRule="auto"/>
        <w:jc w:val="both"/>
      </w:pPr>
      <w:r>
        <w:t>El problema delimita la situación en un contexto territorial de manera macro.</w:t>
      </w:r>
    </w:p>
    <w:p w14:paraId="2BC3602E" w14:textId="77777777" w:rsidR="00883B3D" w:rsidRDefault="00883B3D" w:rsidP="00883B3D">
      <w:pPr>
        <w:pStyle w:val="Prrafodelista"/>
        <w:numPr>
          <w:ilvl w:val="0"/>
          <w:numId w:val="8"/>
        </w:numPr>
        <w:spacing w:line="276" w:lineRule="auto"/>
        <w:jc w:val="both"/>
      </w:pPr>
      <w:r>
        <w:t>El Pp necesita de una estrategia de cobertura bien definida.</w:t>
      </w:r>
    </w:p>
    <w:p w14:paraId="014D7FAF" w14:textId="77777777" w:rsidR="00883B3D" w:rsidRDefault="00883B3D" w:rsidP="00883B3D">
      <w:pPr>
        <w:pStyle w:val="Prrafodelista"/>
        <w:numPr>
          <w:ilvl w:val="0"/>
          <w:numId w:val="8"/>
        </w:numPr>
        <w:spacing w:line="276" w:lineRule="auto"/>
        <w:jc w:val="both"/>
      </w:pPr>
      <w:r>
        <w:t>No se conoce de manera clara los mecanismos para los trámites del Pp.</w:t>
      </w:r>
    </w:p>
    <w:p w14:paraId="15280E2E" w14:textId="77777777" w:rsidR="00883B3D" w:rsidRDefault="00883B3D" w:rsidP="00883B3D">
      <w:pPr>
        <w:pStyle w:val="Prrafodelista"/>
        <w:numPr>
          <w:ilvl w:val="0"/>
          <w:numId w:val="8"/>
        </w:numPr>
        <w:spacing w:line="276" w:lineRule="auto"/>
        <w:jc w:val="both"/>
      </w:pPr>
      <w:r>
        <w:t>Las ROP tienen fecha del día 18 de enero de dos mil veintidós y fueron publicadas en el POE el día 16 de febrero de 2022, por lo que hasta en ese entonces entran en vigor, y la convocatoria fue publicada el 24 de enero de 2022.</w:t>
      </w:r>
    </w:p>
    <w:p w14:paraId="3CB4B7A1" w14:textId="77777777" w:rsidR="00883B3D" w:rsidRDefault="00883B3D" w:rsidP="00883B3D">
      <w:pPr>
        <w:pStyle w:val="Prrafodelista"/>
        <w:numPr>
          <w:ilvl w:val="0"/>
          <w:numId w:val="8"/>
        </w:numPr>
        <w:spacing w:line="276" w:lineRule="auto"/>
        <w:jc w:val="both"/>
      </w:pPr>
      <w:r>
        <w:lastRenderedPageBreak/>
        <w:t xml:space="preserve">EL padrón de beneficiarios los 996 acreditados es diferente a la población atendida mencionada en la respuesta de la pregunta 8. </w:t>
      </w:r>
    </w:p>
    <w:p w14:paraId="7BF57450" w14:textId="77777777" w:rsidR="00883B3D" w:rsidRDefault="00883B3D" w:rsidP="00883B3D">
      <w:pPr>
        <w:pStyle w:val="Prrafodelista"/>
        <w:numPr>
          <w:ilvl w:val="0"/>
          <w:numId w:val="8"/>
        </w:numPr>
        <w:spacing w:line="276" w:lineRule="auto"/>
        <w:jc w:val="both"/>
      </w:pPr>
      <w:r>
        <w:t>No existen Fichas Técnicas de los Indicadores del Pp.</w:t>
      </w:r>
    </w:p>
    <w:p w14:paraId="127C1AE6" w14:textId="77777777" w:rsidR="00883B3D" w:rsidRDefault="00883B3D" w:rsidP="00883B3D">
      <w:pPr>
        <w:pStyle w:val="Prrafodelista"/>
        <w:numPr>
          <w:ilvl w:val="0"/>
          <w:numId w:val="8"/>
        </w:numPr>
        <w:spacing w:line="276" w:lineRule="auto"/>
        <w:jc w:val="both"/>
      </w:pPr>
      <w:r>
        <w:t>El listado de personas físicas o morales a quienes asignó recursos no se encuentra disponible en el micrositio.</w:t>
      </w:r>
    </w:p>
    <w:p w14:paraId="3E20AA85" w14:textId="77777777" w:rsidR="00883B3D" w:rsidRDefault="00883B3D" w:rsidP="00883B3D">
      <w:pPr>
        <w:pStyle w:val="Prrafodelista"/>
        <w:numPr>
          <w:ilvl w:val="0"/>
          <w:numId w:val="8"/>
        </w:numPr>
        <w:spacing w:line="276" w:lineRule="auto"/>
        <w:jc w:val="both"/>
      </w:pPr>
      <w:r>
        <w:t xml:space="preserve">El micrositio de Transparencia de la SAyG no se tiene publicada la información de los indicadores que permitan rendir cuenta de sus objetivos y resultados, </w:t>
      </w:r>
    </w:p>
    <w:p w14:paraId="1329A6EC" w14:textId="063A764E" w:rsidR="00A165BB" w:rsidRPr="00C00FBC" w:rsidRDefault="00883B3D" w:rsidP="00883B3D">
      <w:pPr>
        <w:pStyle w:val="Prrafodelista"/>
        <w:numPr>
          <w:ilvl w:val="0"/>
          <w:numId w:val="8"/>
        </w:numPr>
        <w:spacing w:line="276" w:lineRule="auto"/>
        <w:jc w:val="both"/>
      </w:pPr>
      <w:r>
        <w:t>La MIR debe realizarse y publicarse en la Ley.</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2C2FB868" w14:textId="5CA643D7" w:rsidR="003B7C22" w:rsidRDefault="003B7C22" w:rsidP="003B7C22">
      <w:pPr>
        <w:spacing w:after="0" w:line="276" w:lineRule="auto"/>
        <w:ind w:left="284"/>
        <w:jc w:val="both"/>
        <w:rPr>
          <w:lang w:val="es-ES"/>
        </w:rPr>
      </w:pPr>
      <w:r w:rsidRPr="000865D2">
        <w:rPr>
          <w:b/>
          <w:lang w:val="es-ES"/>
        </w:rPr>
        <w:t>Valoración cuantitativa global</w:t>
      </w:r>
      <w:r>
        <w:rPr>
          <w:lang w:val="es-ES"/>
        </w:rPr>
        <w:t>: e</w:t>
      </w:r>
      <w:r w:rsidRPr="003B7C22">
        <w:rPr>
          <w:lang w:val="es-ES"/>
        </w:rPr>
        <w:t xml:space="preserve">n este apartado </w:t>
      </w:r>
      <w:r>
        <w:rPr>
          <w:lang w:val="es-ES"/>
        </w:rPr>
        <w:t>se</w:t>
      </w:r>
      <w:r>
        <w:t xml:space="preserve"> deberá considerar el total de puntos obtenidos en la evaluación con respecto al total de los 100 puntos máximos posibles, así como las 25 preguntas con valoración cuantitativa que la integran, descontando las que resulten identificadas como “No aplica”. La valoración cuantitativa global máxima de la evaluación será igual a 4 (cuatro).</w:t>
      </w:r>
    </w:p>
    <w:p w14:paraId="4A5824F3" w14:textId="77777777" w:rsidR="003B7C22" w:rsidRPr="000865D2" w:rsidRDefault="003B7C22" w:rsidP="00A4624B">
      <w:pPr>
        <w:spacing w:after="0" w:line="276" w:lineRule="auto"/>
        <w:ind w:left="284"/>
        <w:jc w:val="both"/>
        <w:rPr>
          <w:sz w:val="14"/>
          <w:szCs w:val="14"/>
          <w:lang w:val="es-ES"/>
        </w:rPr>
      </w:pPr>
    </w:p>
    <w:tbl>
      <w:tblPr>
        <w:tblW w:w="4003"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447"/>
        <w:gridCol w:w="2761"/>
        <w:gridCol w:w="1395"/>
        <w:gridCol w:w="1087"/>
        <w:gridCol w:w="1111"/>
        <w:gridCol w:w="1133"/>
      </w:tblGrid>
      <w:tr w:rsidR="003B7C22" w:rsidRPr="003B7C22" w14:paraId="56DE082C" w14:textId="77777777" w:rsidTr="003B7C22">
        <w:trPr>
          <w:trHeight w:val="756"/>
          <w:tblHeader/>
          <w:jc w:val="center"/>
        </w:trPr>
        <w:tc>
          <w:tcPr>
            <w:tcW w:w="282" w:type="pct"/>
            <w:shd w:val="clear" w:color="auto" w:fill="404040" w:themeFill="text1" w:themeFillTint="BF"/>
            <w:vAlign w:val="center"/>
          </w:tcPr>
          <w:p w14:paraId="51103666" w14:textId="77777777" w:rsidR="00AB5DC5" w:rsidRPr="003B7C22" w:rsidRDefault="00AB5DC5" w:rsidP="0074788B">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No.</w:t>
            </w:r>
          </w:p>
        </w:tc>
        <w:tc>
          <w:tcPr>
            <w:tcW w:w="1740" w:type="pct"/>
            <w:shd w:val="clear" w:color="auto" w:fill="404040" w:themeFill="text1" w:themeFillTint="BF"/>
            <w:vAlign w:val="center"/>
          </w:tcPr>
          <w:p w14:paraId="7603C1DD" w14:textId="77777777" w:rsidR="00AB5DC5" w:rsidRPr="003B7C22" w:rsidRDefault="00AB5DC5" w:rsidP="0074788B">
            <w:pPr>
              <w:spacing w:after="0" w:line="240" w:lineRule="auto"/>
              <w:jc w:val="center"/>
              <w:rPr>
                <w:rFonts w:ascii="Arial" w:eastAsia="Cambria" w:hAnsi="Arial" w:cs="Arial"/>
                <w:b/>
                <w:bCs/>
                <w:color w:val="FFFFFF" w:themeColor="background1"/>
                <w:sz w:val="18"/>
                <w:szCs w:val="18"/>
              </w:rPr>
            </w:pPr>
            <w:r w:rsidRPr="003B7C22">
              <w:rPr>
                <w:rFonts w:ascii="Arial" w:hAnsi="Arial" w:cs="Arial"/>
                <w:b/>
                <w:bCs/>
                <w:color w:val="FFFFFF" w:themeColor="background1"/>
                <w:sz w:val="18"/>
                <w:szCs w:val="18"/>
              </w:rPr>
              <w:t>Sección</w:t>
            </w:r>
          </w:p>
        </w:tc>
        <w:tc>
          <w:tcPr>
            <w:tcW w:w="879" w:type="pct"/>
            <w:shd w:val="clear" w:color="auto" w:fill="404040" w:themeFill="text1" w:themeFillTint="BF"/>
            <w:tcMar>
              <w:top w:w="0" w:type="dxa"/>
              <w:left w:w="108" w:type="dxa"/>
              <w:bottom w:w="0" w:type="dxa"/>
              <w:right w:w="108" w:type="dxa"/>
            </w:tcMar>
            <w:vAlign w:val="center"/>
            <w:hideMark/>
          </w:tcPr>
          <w:p w14:paraId="09314130" w14:textId="77777777" w:rsidR="00AB5DC5" w:rsidRPr="003B7C22" w:rsidRDefault="00AB5DC5" w:rsidP="0074788B">
            <w:pPr>
              <w:spacing w:after="0" w:line="240" w:lineRule="auto"/>
              <w:jc w:val="center"/>
              <w:rPr>
                <w:rFonts w:ascii="Arial" w:eastAsia="Cambria" w:hAnsi="Arial" w:cs="Arial"/>
                <w:b/>
                <w:bCs/>
                <w:color w:val="FFFFFF" w:themeColor="background1"/>
                <w:sz w:val="18"/>
                <w:szCs w:val="18"/>
              </w:rPr>
            </w:pPr>
            <w:r w:rsidRPr="003B7C22">
              <w:rPr>
                <w:rFonts w:ascii="Arial" w:hAnsi="Arial" w:cs="Arial"/>
                <w:b/>
                <w:bCs/>
                <w:color w:val="FFFFFF" w:themeColor="background1"/>
                <w:sz w:val="18"/>
                <w:szCs w:val="18"/>
              </w:rPr>
              <w:t>Pregunta con valoración cuantitativa</w:t>
            </w:r>
          </w:p>
        </w:tc>
        <w:tc>
          <w:tcPr>
            <w:tcW w:w="685" w:type="pct"/>
            <w:shd w:val="clear" w:color="auto" w:fill="404040" w:themeFill="text1" w:themeFillTint="BF"/>
            <w:tcMar>
              <w:top w:w="0" w:type="dxa"/>
              <w:left w:w="108" w:type="dxa"/>
              <w:bottom w:w="0" w:type="dxa"/>
              <w:right w:w="108" w:type="dxa"/>
            </w:tcMar>
            <w:vAlign w:val="center"/>
            <w:hideMark/>
          </w:tcPr>
          <w:p w14:paraId="419E7254" w14:textId="77777777" w:rsidR="00AB5DC5" w:rsidRPr="003B7C22" w:rsidRDefault="00AB5DC5" w:rsidP="0074788B">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Total de preguntas</w:t>
            </w:r>
          </w:p>
          <w:p w14:paraId="7694DA94" w14:textId="77777777" w:rsidR="00AB5DC5" w:rsidRPr="003B7C22" w:rsidRDefault="00AB5DC5" w:rsidP="0074788B">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(A)</w:t>
            </w:r>
          </w:p>
        </w:tc>
        <w:tc>
          <w:tcPr>
            <w:tcW w:w="700" w:type="pct"/>
            <w:shd w:val="clear" w:color="auto" w:fill="404040" w:themeFill="text1" w:themeFillTint="BF"/>
            <w:vAlign w:val="center"/>
          </w:tcPr>
          <w:p w14:paraId="47924658" w14:textId="77777777" w:rsidR="00AB5DC5" w:rsidRPr="003B7C22" w:rsidRDefault="00AB5DC5" w:rsidP="0074788B">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Puntuación máxima</w:t>
            </w:r>
          </w:p>
          <w:p w14:paraId="51A16B12" w14:textId="77777777" w:rsidR="00AB5DC5" w:rsidRPr="003B7C22" w:rsidRDefault="00AB5DC5" w:rsidP="0074788B">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(B)</w:t>
            </w:r>
          </w:p>
        </w:tc>
        <w:tc>
          <w:tcPr>
            <w:tcW w:w="715" w:type="pct"/>
            <w:shd w:val="clear" w:color="auto" w:fill="404040" w:themeFill="text1" w:themeFillTint="BF"/>
            <w:vAlign w:val="center"/>
          </w:tcPr>
          <w:p w14:paraId="389567DB" w14:textId="77777777" w:rsidR="00AB5DC5" w:rsidRPr="003B7C22" w:rsidRDefault="00AB5DC5" w:rsidP="0074788B">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 xml:space="preserve">Valoración cuantitativa </w:t>
            </w:r>
          </w:p>
          <w:p w14:paraId="56BE1FFD" w14:textId="77777777" w:rsidR="00AB5DC5" w:rsidRPr="003B7C22" w:rsidRDefault="00AB5DC5" w:rsidP="0074788B">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(B)/(A)</w:t>
            </w:r>
          </w:p>
        </w:tc>
      </w:tr>
      <w:tr w:rsidR="003B7C22" w:rsidRPr="003B7C22" w14:paraId="33B220E6" w14:textId="77777777" w:rsidTr="003B7C22">
        <w:trPr>
          <w:trHeight w:val="239"/>
          <w:jc w:val="center"/>
        </w:trPr>
        <w:tc>
          <w:tcPr>
            <w:tcW w:w="282" w:type="pct"/>
            <w:vAlign w:val="center"/>
          </w:tcPr>
          <w:p w14:paraId="1EEC62F8"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II</w:t>
            </w:r>
          </w:p>
        </w:tc>
        <w:tc>
          <w:tcPr>
            <w:tcW w:w="1740" w:type="pct"/>
            <w:tcMar>
              <w:top w:w="0" w:type="dxa"/>
              <w:left w:w="108" w:type="dxa"/>
              <w:bottom w:w="0" w:type="dxa"/>
              <w:right w:w="108" w:type="dxa"/>
            </w:tcMar>
            <w:vAlign w:val="center"/>
            <w:hideMark/>
          </w:tcPr>
          <w:p w14:paraId="6D9D758B" w14:textId="77777777" w:rsidR="00AB5DC5" w:rsidRPr="003B7C22" w:rsidRDefault="00AB5DC5" w:rsidP="0074788B">
            <w:pPr>
              <w:spacing w:after="0" w:line="240" w:lineRule="auto"/>
              <w:rPr>
                <w:rFonts w:ascii="Arial" w:hAnsi="Arial" w:cs="Arial"/>
                <w:sz w:val="18"/>
                <w:szCs w:val="18"/>
              </w:rPr>
            </w:pPr>
            <w:r w:rsidRPr="003B7C22">
              <w:rPr>
                <w:rFonts w:ascii="Arial" w:hAnsi="Arial" w:cs="Arial"/>
                <w:sz w:val="18"/>
                <w:szCs w:val="18"/>
              </w:rPr>
              <w:t>Problema o necesidad pública</w:t>
            </w:r>
          </w:p>
        </w:tc>
        <w:tc>
          <w:tcPr>
            <w:tcW w:w="879" w:type="pct"/>
            <w:tcMar>
              <w:top w:w="0" w:type="dxa"/>
              <w:left w:w="108" w:type="dxa"/>
              <w:bottom w:w="0" w:type="dxa"/>
              <w:right w:w="108" w:type="dxa"/>
            </w:tcMar>
            <w:vAlign w:val="center"/>
          </w:tcPr>
          <w:p w14:paraId="4CB35134"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2 - 5</w:t>
            </w:r>
          </w:p>
        </w:tc>
        <w:tc>
          <w:tcPr>
            <w:tcW w:w="685" w:type="pct"/>
            <w:tcMar>
              <w:top w:w="0" w:type="dxa"/>
              <w:left w:w="108" w:type="dxa"/>
              <w:bottom w:w="0" w:type="dxa"/>
              <w:right w:w="108" w:type="dxa"/>
            </w:tcMar>
            <w:vAlign w:val="center"/>
          </w:tcPr>
          <w:p w14:paraId="163F0D89"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4</w:t>
            </w:r>
          </w:p>
        </w:tc>
        <w:tc>
          <w:tcPr>
            <w:tcW w:w="700" w:type="pct"/>
            <w:vAlign w:val="center"/>
          </w:tcPr>
          <w:p w14:paraId="0BF70BDA"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8</w:t>
            </w:r>
          </w:p>
        </w:tc>
        <w:tc>
          <w:tcPr>
            <w:tcW w:w="715" w:type="pct"/>
            <w:shd w:val="clear" w:color="auto" w:fill="F2F2F2" w:themeFill="background1" w:themeFillShade="F2"/>
            <w:vAlign w:val="center"/>
          </w:tcPr>
          <w:p w14:paraId="1F8E5DD3" w14:textId="77777777" w:rsidR="00AB5DC5" w:rsidRPr="003B7C22" w:rsidRDefault="00AB5DC5" w:rsidP="0074788B">
            <w:pPr>
              <w:spacing w:after="0" w:line="240" w:lineRule="auto"/>
              <w:jc w:val="center"/>
              <w:rPr>
                <w:rFonts w:ascii="Arial" w:hAnsi="Arial" w:cs="Arial"/>
                <w:b/>
                <w:bCs/>
                <w:sz w:val="18"/>
                <w:szCs w:val="18"/>
              </w:rPr>
            </w:pPr>
            <w:r w:rsidRPr="003B7C22">
              <w:rPr>
                <w:rFonts w:ascii="Arial" w:hAnsi="Arial" w:cs="Arial"/>
                <w:b/>
                <w:bCs/>
                <w:sz w:val="18"/>
                <w:szCs w:val="18"/>
              </w:rPr>
              <w:t>2</w:t>
            </w:r>
          </w:p>
        </w:tc>
      </w:tr>
      <w:tr w:rsidR="003B7C22" w:rsidRPr="003B7C22" w14:paraId="7E6EE964" w14:textId="77777777" w:rsidTr="003B7C22">
        <w:trPr>
          <w:trHeight w:val="239"/>
          <w:jc w:val="center"/>
        </w:trPr>
        <w:tc>
          <w:tcPr>
            <w:tcW w:w="282" w:type="pct"/>
            <w:vAlign w:val="center"/>
          </w:tcPr>
          <w:p w14:paraId="53A4E8B3"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III</w:t>
            </w:r>
          </w:p>
        </w:tc>
        <w:tc>
          <w:tcPr>
            <w:tcW w:w="1740" w:type="pct"/>
            <w:tcMar>
              <w:top w:w="0" w:type="dxa"/>
              <w:left w:w="108" w:type="dxa"/>
              <w:bottom w:w="0" w:type="dxa"/>
              <w:right w:w="108" w:type="dxa"/>
            </w:tcMar>
            <w:vAlign w:val="center"/>
          </w:tcPr>
          <w:p w14:paraId="7880105D" w14:textId="77777777" w:rsidR="00AB5DC5" w:rsidRPr="003B7C22" w:rsidRDefault="00AB5DC5" w:rsidP="0074788B">
            <w:pPr>
              <w:spacing w:after="0" w:line="240" w:lineRule="auto"/>
              <w:rPr>
                <w:rFonts w:ascii="Arial" w:hAnsi="Arial" w:cs="Arial"/>
                <w:sz w:val="18"/>
                <w:szCs w:val="18"/>
              </w:rPr>
            </w:pPr>
            <w:r w:rsidRPr="003B7C22">
              <w:rPr>
                <w:rFonts w:ascii="Arial" w:hAnsi="Arial" w:cs="Arial"/>
                <w:sz w:val="18"/>
                <w:szCs w:val="18"/>
              </w:rPr>
              <w:t>Diseño de la propuesta de atención</w:t>
            </w:r>
          </w:p>
        </w:tc>
        <w:tc>
          <w:tcPr>
            <w:tcW w:w="879" w:type="pct"/>
            <w:tcMar>
              <w:top w:w="0" w:type="dxa"/>
              <w:left w:w="108" w:type="dxa"/>
              <w:bottom w:w="0" w:type="dxa"/>
              <w:right w:w="108" w:type="dxa"/>
            </w:tcMar>
            <w:vAlign w:val="center"/>
          </w:tcPr>
          <w:p w14:paraId="6400AADB"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6 - 10</w:t>
            </w:r>
          </w:p>
        </w:tc>
        <w:tc>
          <w:tcPr>
            <w:tcW w:w="685" w:type="pct"/>
            <w:tcMar>
              <w:top w:w="0" w:type="dxa"/>
              <w:left w:w="108" w:type="dxa"/>
              <w:bottom w:w="0" w:type="dxa"/>
              <w:right w:w="108" w:type="dxa"/>
            </w:tcMar>
            <w:vAlign w:val="center"/>
          </w:tcPr>
          <w:p w14:paraId="08A78321"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5</w:t>
            </w:r>
          </w:p>
        </w:tc>
        <w:tc>
          <w:tcPr>
            <w:tcW w:w="700" w:type="pct"/>
            <w:vAlign w:val="center"/>
          </w:tcPr>
          <w:p w14:paraId="1D5E4E39"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12</w:t>
            </w:r>
          </w:p>
        </w:tc>
        <w:tc>
          <w:tcPr>
            <w:tcW w:w="715" w:type="pct"/>
            <w:shd w:val="clear" w:color="auto" w:fill="F2F2F2" w:themeFill="background1" w:themeFillShade="F2"/>
            <w:vAlign w:val="center"/>
          </w:tcPr>
          <w:p w14:paraId="45EBB441" w14:textId="77777777" w:rsidR="00AB5DC5" w:rsidRPr="003B7C22" w:rsidRDefault="00AB5DC5" w:rsidP="0074788B">
            <w:pPr>
              <w:spacing w:after="0" w:line="240" w:lineRule="auto"/>
              <w:jc w:val="center"/>
              <w:rPr>
                <w:rFonts w:ascii="Arial" w:hAnsi="Arial" w:cs="Arial"/>
                <w:b/>
                <w:bCs/>
                <w:sz w:val="18"/>
                <w:szCs w:val="18"/>
              </w:rPr>
            </w:pPr>
            <w:r w:rsidRPr="003B7C22">
              <w:rPr>
                <w:rFonts w:ascii="Arial" w:hAnsi="Arial" w:cs="Arial"/>
                <w:b/>
                <w:bCs/>
                <w:sz w:val="18"/>
                <w:szCs w:val="18"/>
              </w:rPr>
              <w:t>2.4</w:t>
            </w:r>
          </w:p>
        </w:tc>
      </w:tr>
      <w:tr w:rsidR="003B7C22" w:rsidRPr="003B7C22" w14:paraId="6BE8E9BA" w14:textId="77777777" w:rsidTr="003B7C22">
        <w:trPr>
          <w:trHeight w:val="199"/>
          <w:jc w:val="center"/>
        </w:trPr>
        <w:tc>
          <w:tcPr>
            <w:tcW w:w="282" w:type="pct"/>
            <w:vAlign w:val="center"/>
          </w:tcPr>
          <w:p w14:paraId="7FFCA1FA"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IV</w:t>
            </w:r>
          </w:p>
        </w:tc>
        <w:tc>
          <w:tcPr>
            <w:tcW w:w="1740" w:type="pct"/>
            <w:tcMar>
              <w:top w:w="0" w:type="dxa"/>
              <w:left w:w="108" w:type="dxa"/>
              <w:bottom w:w="0" w:type="dxa"/>
              <w:right w:w="108" w:type="dxa"/>
            </w:tcMar>
            <w:vAlign w:val="center"/>
          </w:tcPr>
          <w:p w14:paraId="19DEEF61" w14:textId="77777777" w:rsidR="00AB5DC5" w:rsidRPr="003B7C22" w:rsidRDefault="00AB5DC5" w:rsidP="0074788B">
            <w:pPr>
              <w:spacing w:after="0" w:line="240" w:lineRule="auto"/>
              <w:rPr>
                <w:rFonts w:ascii="Arial" w:hAnsi="Arial" w:cs="Arial"/>
                <w:sz w:val="18"/>
                <w:szCs w:val="18"/>
              </w:rPr>
            </w:pPr>
            <w:r w:rsidRPr="003B7C22">
              <w:rPr>
                <w:rFonts w:ascii="Arial" w:hAnsi="Arial" w:cs="Arial"/>
                <w:sz w:val="18"/>
                <w:szCs w:val="18"/>
              </w:rPr>
              <w:t>Diseño operativo</w:t>
            </w:r>
          </w:p>
        </w:tc>
        <w:tc>
          <w:tcPr>
            <w:tcW w:w="879" w:type="pct"/>
            <w:tcMar>
              <w:top w:w="0" w:type="dxa"/>
              <w:left w:w="108" w:type="dxa"/>
              <w:bottom w:w="0" w:type="dxa"/>
              <w:right w:w="108" w:type="dxa"/>
            </w:tcMar>
            <w:vAlign w:val="center"/>
          </w:tcPr>
          <w:p w14:paraId="189223F3"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11 - 20</w:t>
            </w:r>
          </w:p>
        </w:tc>
        <w:tc>
          <w:tcPr>
            <w:tcW w:w="685" w:type="pct"/>
            <w:tcMar>
              <w:top w:w="0" w:type="dxa"/>
              <w:left w:w="108" w:type="dxa"/>
              <w:bottom w:w="0" w:type="dxa"/>
              <w:right w:w="108" w:type="dxa"/>
            </w:tcMar>
            <w:vAlign w:val="center"/>
          </w:tcPr>
          <w:p w14:paraId="3979CE3C"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10</w:t>
            </w:r>
          </w:p>
        </w:tc>
        <w:tc>
          <w:tcPr>
            <w:tcW w:w="700" w:type="pct"/>
            <w:vAlign w:val="center"/>
          </w:tcPr>
          <w:p w14:paraId="10E9AD0A"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19</w:t>
            </w:r>
          </w:p>
        </w:tc>
        <w:tc>
          <w:tcPr>
            <w:tcW w:w="715" w:type="pct"/>
            <w:shd w:val="clear" w:color="auto" w:fill="F2F2F2" w:themeFill="background1" w:themeFillShade="F2"/>
            <w:vAlign w:val="center"/>
          </w:tcPr>
          <w:p w14:paraId="6FA018EB" w14:textId="77777777" w:rsidR="00AB5DC5" w:rsidRPr="003B7C22" w:rsidRDefault="00AB5DC5" w:rsidP="0074788B">
            <w:pPr>
              <w:spacing w:after="0" w:line="240" w:lineRule="auto"/>
              <w:jc w:val="center"/>
              <w:rPr>
                <w:rFonts w:ascii="Arial" w:hAnsi="Arial" w:cs="Arial"/>
                <w:b/>
                <w:bCs/>
                <w:sz w:val="18"/>
                <w:szCs w:val="18"/>
              </w:rPr>
            </w:pPr>
            <w:r w:rsidRPr="003B7C22">
              <w:rPr>
                <w:rFonts w:ascii="Arial" w:hAnsi="Arial" w:cs="Arial"/>
                <w:b/>
                <w:bCs/>
                <w:sz w:val="18"/>
                <w:szCs w:val="18"/>
              </w:rPr>
              <w:t>1.9</w:t>
            </w:r>
          </w:p>
        </w:tc>
      </w:tr>
      <w:tr w:rsidR="003B7C22" w:rsidRPr="003B7C22" w14:paraId="4F2E8499" w14:textId="77777777" w:rsidTr="003B7C22">
        <w:trPr>
          <w:trHeight w:val="239"/>
          <w:jc w:val="center"/>
        </w:trPr>
        <w:tc>
          <w:tcPr>
            <w:tcW w:w="282" w:type="pct"/>
            <w:vAlign w:val="center"/>
          </w:tcPr>
          <w:p w14:paraId="615B763C"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V</w:t>
            </w:r>
          </w:p>
        </w:tc>
        <w:tc>
          <w:tcPr>
            <w:tcW w:w="1740" w:type="pct"/>
            <w:tcMar>
              <w:top w:w="0" w:type="dxa"/>
              <w:left w:w="108" w:type="dxa"/>
              <w:bottom w:w="0" w:type="dxa"/>
              <w:right w:w="108" w:type="dxa"/>
            </w:tcMar>
            <w:vAlign w:val="center"/>
          </w:tcPr>
          <w:p w14:paraId="0CD3CAC5" w14:textId="77777777" w:rsidR="00AB5DC5" w:rsidRPr="003B7C22" w:rsidRDefault="00AB5DC5" w:rsidP="0074788B">
            <w:pPr>
              <w:spacing w:after="0" w:line="240" w:lineRule="auto"/>
              <w:rPr>
                <w:rFonts w:ascii="Arial" w:hAnsi="Arial" w:cs="Arial"/>
                <w:sz w:val="18"/>
                <w:szCs w:val="18"/>
              </w:rPr>
            </w:pPr>
            <w:r w:rsidRPr="003B7C22">
              <w:rPr>
                <w:rFonts w:ascii="Arial" w:hAnsi="Arial" w:cs="Arial"/>
                <w:sz w:val="18"/>
                <w:szCs w:val="18"/>
              </w:rPr>
              <w:t xml:space="preserve">Consistencia programática y normativa </w:t>
            </w:r>
          </w:p>
        </w:tc>
        <w:tc>
          <w:tcPr>
            <w:tcW w:w="879" w:type="pct"/>
            <w:tcMar>
              <w:top w:w="0" w:type="dxa"/>
              <w:left w:w="108" w:type="dxa"/>
              <w:bottom w:w="0" w:type="dxa"/>
              <w:right w:w="108" w:type="dxa"/>
            </w:tcMar>
            <w:vAlign w:val="center"/>
          </w:tcPr>
          <w:p w14:paraId="34169B6B"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22</w:t>
            </w:r>
          </w:p>
        </w:tc>
        <w:tc>
          <w:tcPr>
            <w:tcW w:w="685" w:type="pct"/>
            <w:tcMar>
              <w:top w:w="0" w:type="dxa"/>
              <w:left w:w="108" w:type="dxa"/>
              <w:bottom w:w="0" w:type="dxa"/>
              <w:right w:w="108" w:type="dxa"/>
            </w:tcMar>
            <w:vAlign w:val="center"/>
          </w:tcPr>
          <w:p w14:paraId="62552605"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1</w:t>
            </w:r>
          </w:p>
        </w:tc>
        <w:tc>
          <w:tcPr>
            <w:tcW w:w="700" w:type="pct"/>
            <w:vAlign w:val="center"/>
          </w:tcPr>
          <w:p w14:paraId="77A078F6"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2</w:t>
            </w:r>
          </w:p>
        </w:tc>
        <w:tc>
          <w:tcPr>
            <w:tcW w:w="715" w:type="pct"/>
            <w:shd w:val="clear" w:color="auto" w:fill="F2F2F2" w:themeFill="background1" w:themeFillShade="F2"/>
            <w:vAlign w:val="center"/>
          </w:tcPr>
          <w:p w14:paraId="624D6BD4" w14:textId="77777777" w:rsidR="00AB5DC5" w:rsidRPr="003B7C22" w:rsidRDefault="00AB5DC5" w:rsidP="0074788B">
            <w:pPr>
              <w:spacing w:after="0" w:line="240" w:lineRule="auto"/>
              <w:jc w:val="center"/>
              <w:rPr>
                <w:rFonts w:ascii="Arial" w:hAnsi="Arial" w:cs="Arial"/>
                <w:b/>
                <w:bCs/>
                <w:sz w:val="18"/>
                <w:szCs w:val="18"/>
              </w:rPr>
            </w:pPr>
            <w:r w:rsidRPr="003B7C22">
              <w:rPr>
                <w:rFonts w:ascii="Arial" w:hAnsi="Arial" w:cs="Arial"/>
                <w:b/>
                <w:bCs/>
                <w:sz w:val="18"/>
                <w:szCs w:val="18"/>
              </w:rPr>
              <w:t>2</w:t>
            </w:r>
          </w:p>
        </w:tc>
      </w:tr>
      <w:tr w:rsidR="003B7C22" w:rsidRPr="003B7C22" w14:paraId="1599E074" w14:textId="77777777" w:rsidTr="003B7C22">
        <w:trPr>
          <w:trHeight w:val="258"/>
          <w:jc w:val="center"/>
        </w:trPr>
        <w:tc>
          <w:tcPr>
            <w:tcW w:w="282" w:type="pct"/>
            <w:vAlign w:val="center"/>
          </w:tcPr>
          <w:p w14:paraId="46A1C097"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VI</w:t>
            </w:r>
          </w:p>
        </w:tc>
        <w:tc>
          <w:tcPr>
            <w:tcW w:w="1740" w:type="pct"/>
            <w:tcMar>
              <w:top w:w="0" w:type="dxa"/>
              <w:left w:w="108" w:type="dxa"/>
              <w:bottom w:w="0" w:type="dxa"/>
              <w:right w:w="108" w:type="dxa"/>
            </w:tcMar>
            <w:vAlign w:val="center"/>
            <w:hideMark/>
          </w:tcPr>
          <w:p w14:paraId="466646FC" w14:textId="77777777" w:rsidR="00AB5DC5" w:rsidRPr="003B7C22" w:rsidRDefault="00AB5DC5" w:rsidP="0074788B">
            <w:pPr>
              <w:spacing w:after="0" w:line="240" w:lineRule="auto"/>
              <w:rPr>
                <w:rFonts w:ascii="Arial" w:eastAsia="Cambria" w:hAnsi="Arial" w:cs="Arial"/>
                <w:sz w:val="18"/>
                <w:szCs w:val="18"/>
              </w:rPr>
            </w:pPr>
            <w:r w:rsidRPr="003B7C22">
              <w:rPr>
                <w:rFonts w:ascii="Arial" w:hAnsi="Arial" w:cs="Arial"/>
                <w:sz w:val="18"/>
                <w:szCs w:val="18"/>
              </w:rPr>
              <w:t>Contribución a objetivos de la planeación estatal</w:t>
            </w:r>
          </w:p>
        </w:tc>
        <w:tc>
          <w:tcPr>
            <w:tcW w:w="879" w:type="pct"/>
            <w:tcMar>
              <w:top w:w="0" w:type="dxa"/>
              <w:left w:w="108" w:type="dxa"/>
              <w:bottom w:w="0" w:type="dxa"/>
              <w:right w:w="108" w:type="dxa"/>
            </w:tcMar>
            <w:vAlign w:val="center"/>
          </w:tcPr>
          <w:p w14:paraId="5CBDFB20" w14:textId="77777777" w:rsidR="00AB5DC5" w:rsidRPr="003B7C22" w:rsidRDefault="00AB5DC5" w:rsidP="0074788B">
            <w:pPr>
              <w:spacing w:after="0" w:line="240" w:lineRule="auto"/>
              <w:jc w:val="center"/>
              <w:rPr>
                <w:rFonts w:ascii="Arial" w:eastAsia="Cambria" w:hAnsi="Arial" w:cs="Arial"/>
                <w:sz w:val="18"/>
                <w:szCs w:val="18"/>
              </w:rPr>
            </w:pPr>
            <w:r w:rsidRPr="003B7C22">
              <w:rPr>
                <w:rFonts w:ascii="Arial" w:eastAsia="Cambria" w:hAnsi="Arial" w:cs="Arial"/>
                <w:sz w:val="18"/>
                <w:szCs w:val="18"/>
              </w:rPr>
              <w:t>23</w:t>
            </w:r>
          </w:p>
        </w:tc>
        <w:tc>
          <w:tcPr>
            <w:tcW w:w="685" w:type="pct"/>
            <w:tcMar>
              <w:top w:w="0" w:type="dxa"/>
              <w:left w:w="108" w:type="dxa"/>
              <w:bottom w:w="0" w:type="dxa"/>
              <w:right w:w="108" w:type="dxa"/>
            </w:tcMar>
            <w:vAlign w:val="center"/>
          </w:tcPr>
          <w:p w14:paraId="7F57E2B2" w14:textId="77777777" w:rsidR="00AB5DC5" w:rsidRPr="003B7C22" w:rsidRDefault="00AB5DC5" w:rsidP="0074788B">
            <w:pPr>
              <w:spacing w:after="0" w:line="240" w:lineRule="auto"/>
              <w:jc w:val="center"/>
              <w:rPr>
                <w:rFonts w:ascii="Arial" w:eastAsia="Cambria" w:hAnsi="Arial" w:cs="Arial"/>
                <w:sz w:val="18"/>
                <w:szCs w:val="18"/>
              </w:rPr>
            </w:pPr>
            <w:r w:rsidRPr="003B7C22">
              <w:rPr>
                <w:rFonts w:ascii="Arial" w:eastAsia="Cambria" w:hAnsi="Arial" w:cs="Arial"/>
                <w:sz w:val="18"/>
                <w:szCs w:val="18"/>
              </w:rPr>
              <w:t>1</w:t>
            </w:r>
          </w:p>
        </w:tc>
        <w:tc>
          <w:tcPr>
            <w:tcW w:w="700" w:type="pct"/>
            <w:vAlign w:val="center"/>
          </w:tcPr>
          <w:p w14:paraId="69A0D254" w14:textId="77777777" w:rsidR="00AB5DC5" w:rsidRPr="003B7C22" w:rsidRDefault="00AB5DC5" w:rsidP="0074788B">
            <w:pPr>
              <w:spacing w:after="0" w:line="240" w:lineRule="auto"/>
              <w:jc w:val="center"/>
              <w:rPr>
                <w:rFonts w:ascii="Arial" w:eastAsia="Cambria" w:hAnsi="Arial" w:cs="Arial"/>
                <w:sz w:val="18"/>
                <w:szCs w:val="18"/>
              </w:rPr>
            </w:pPr>
            <w:r w:rsidRPr="003B7C22">
              <w:rPr>
                <w:rFonts w:ascii="Arial" w:eastAsia="Cambria" w:hAnsi="Arial" w:cs="Arial"/>
                <w:sz w:val="18"/>
                <w:szCs w:val="18"/>
              </w:rPr>
              <w:t>4</w:t>
            </w:r>
          </w:p>
        </w:tc>
        <w:tc>
          <w:tcPr>
            <w:tcW w:w="715" w:type="pct"/>
            <w:shd w:val="clear" w:color="auto" w:fill="F2F2F2" w:themeFill="background1" w:themeFillShade="F2"/>
            <w:vAlign w:val="center"/>
          </w:tcPr>
          <w:p w14:paraId="59B1D088" w14:textId="77777777" w:rsidR="00AB5DC5" w:rsidRPr="003B7C22" w:rsidRDefault="00AB5DC5" w:rsidP="0074788B">
            <w:pPr>
              <w:spacing w:after="0" w:line="240" w:lineRule="auto"/>
              <w:jc w:val="center"/>
              <w:rPr>
                <w:rFonts w:ascii="Arial" w:hAnsi="Arial" w:cs="Arial"/>
                <w:b/>
                <w:bCs/>
                <w:sz w:val="18"/>
                <w:szCs w:val="18"/>
              </w:rPr>
            </w:pPr>
            <w:r w:rsidRPr="003B7C22">
              <w:rPr>
                <w:rFonts w:ascii="Arial" w:hAnsi="Arial" w:cs="Arial"/>
                <w:b/>
                <w:bCs/>
                <w:sz w:val="18"/>
                <w:szCs w:val="18"/>
              </w:rPr>
              <w:t>4</w:t>
            </w:r>
          </w:p>
        </w:tc>
      </w:tr>
      <w:tr w:rsidR="003B7C22" w:rsidRPr="003B7C22" w14:paraId="461A73D0" w14:textId="77777777" w:rsidTr="003B7C22">
        <w:trPr>
          <w:trHeight w:val="298"/>
          <w:jc w:val="center"/>
        </w:trPr>
        <w:tc>
          <w:tcPr>
            <w:tcW w:w="282" w:type="pct"/>
            <w:vAlign w:val="center"/>
          </w:tcPr>
          <w:p w14:paraId="4B447CF5" w14:textId="77777777" w:rsidR="00AB5DC5" w:rsidRPr="003B7C22" w:rsidRDefault="00AB5DC5" w:rsidP="0074788B">
            <w:pPr>
              <w:spacing w:after="0" w:line="240" w:lineRule="auto"/>
              <w:jc w:val="center"/>
              <w:rPr>
                <w:rFonts w:ascii="Arial" w:hAnsi="Arial" w:cs="Arial"/>
                <w:sz w:val="18"/>
                <w:szCs w:val="18"/>
              </w:rPr>
            </w:pPr>
            <w:r w:rsidRPr="003B7C22">
              <w:rPr>
                <w:rFonts w:ascii="Arial" w:hAnsi="Arial" w:cs="Arial"/>
                <w:sz w:val="18"/>
                <w:szCs w:val="18"/>
              </w:rPr>
              <w:t>VIII</w:t>
            </w:r>
          </w:p>
        </w:tc>
        <w:tc>
          <w:tcPr>
            <w:tcW w:w="1740" w:type="pct"/>
            <w:tcMar>
              <w:top w:w="0" w:type="dxa"/>
              <w:left w:w="108" w:type="dxa"/>
              <w:bottom w:w="0" w:type="dxa"/>
              <w:right w:w="108" w:type="dxa"/>
            </w:tcMar>
            <w:vAlign w:val="center"/>
            <w:hideMark/>
          </w:tcPr>
          <w:p w14:paraId="1D7AB366" w14:textId="77777777" w:rsidR="00AB5DC5" w:rsidRPr="003B7C22" w:rsidRDefault="00AB5DC5" w:rsidP="0074788B">
            <w:pPr>
              <w:spacing w:after="0" w:line="240" w:lineRule="auto"/>
              <w:rPr>
                <w:rFonts w:ascii="Arial" w:eastAsia="Cambria" w:hAnsi="Arial" w:cs="Arial"/>
                <w:sz w:val="18"/>
                <w:szCs w:val="18"/>
              </w:rPr>
            </w:pPr>
            <w:r w:rsidRPr="003B7C22">
              <w:rPr>
                <w:rFonts w:ascii="Arial" w:hAnsi="Arial" w:cs="Arial"/>
                <w:sz w:val="18"/>
                <w:szCs w:val="18"/>
              </w:rPr>
              <w:t>Instrumento de Seguimiento del Desempeño</w:t>
            </w:r>
          </w:p>
        </w:tc>
        <w:tc>
          <w:tcPr>
            <w:tcW w:w="879" w:type="pct"/>
            <w:tcMar>
              <w:top w:w="0" w:type="dxa"/>
              <w:left w:w="108" w:type="dxa"/>
              <w:bottom w:w="0" w:type="dxa"/>
              <w:right w:w="108" w:type="dxa"/>
            </w:tcMar>
            <w:vAlign w:val="center"/>
          </w:tcPr>
          <w:p w14:paraId="07411538" w14:textId="77777777" w:rsidR="00AB5DC5" w:rsidRPr="003B7C22" w:rsidRDefault="00AB5DC5" w:rsidP="0074788B">
            <w:pPr>
              <w:spacing w:after="0" w:line="240" w:lineRule="auto"/>
              <w:jc w:val="center"/>
              <w:rPr>
                <w:rFonts w:ascii="Arial" w:eastAsia="Cambria" w:hAnsi="Arial" w:cs="Arial"/>
                <w:sz w:val="18"/>
                <w:szCs w:val="18"/>
              </w:rPr>
            </w:pPr>
            <w:r w:rsidRPr="003B7C22">
              <w:rPr>
                <w:rFonts w:ascii="Arial" w:eastAsia="Cambria" w:hAnsi="Arial" w:cs="Arial"/>
                <w:sz w:val="18"/>
                <w:szCs w:val="18"/>
              </w:rPr>
              <w:t>26-29</w:t>
            </w:r>
          </w:p>
        </w:tc>
        <w:tc>
          <w:tcPr>
            <w:tcW w:w="685" w:type="pct"/>
            <w:tcMar>
              <w:top w:w="0" w:type="dxa"/>
              <w:left w:w="108" w:type="dxa"/>
              <w:bottom w:w="0" w:type="dxa"/>
              <w:right w:w="108" w:type="dxa"/>
            </w:tcMar>
            <w:vAlign w:val="center"/>
          </w:tcPr>
          <w:p w14:paraId="66D7AB8E" w14:textId="77777777" w:rsidR="00AB5DC5" w:rsidRPr="003B7C22" w:rsidRDefault="00AB5DC5" w:rsidP="0074788B">
            <w:pPr>
              <w:spacing w:after="0" w:line="240" w:lineRule="auto"/>
              <w:jc w:val="center"/>
              <w:rPr>
                <w:rFonts w:ascii="Arial" w:eastAsia="Cambria" w:hAnsi="Arial" w:cs="Arial"/>
                <w:sz w:val="18"/>
                <w:szCs w:val="18"/>
              </w:rPr>
            </w:pPr>
            <w:r w:rsidRPr="003B7C22">
              <w:rPr>
                <w:rFonts w:ascii="Arial" w:eastAsia="Cambria" w:hAnsi="Arial" w:cs="Arial"/>
                <w:sz w:val="18"/>
                <w:szCs w:val="18"/>
              </w:rPr>
              <w:t>4</w:t>
            </w:r>
          </w:p>
        </w:tc>
        <w:tc>
          <w:tcPr>
            <w:tcW w:w="700" w:type="pct"/>
            <w:vAlign w:val="center"/>
          </w:tcPr>
          <w:p w14:paraId="7ADD58D9" w14:textId="77777777" w:rsidR="00AB5DC5" w:rsidRPr="003B7C22" w:rsidRDefault="00AB5DC5" w:rsidP="0074788B">
            <w:pPr>
              <w:spacing w:after="0" w:line="240" w:lineRule="auto"/>
              <w:jc w:val="center"/>
              <w:rPr>
                <w:rFonts w:ascii="Arial" w:eastAsia="Cambria" w:hAnsi="Arial" w:cs="Arial"/>
                <w:sz w:val="18"/>
                <w:szCs w:val="18"/>
              </w:rPr>
            </w:pPr>
            <w:r w:rsidRPr="003B7C22">
              <w:rPr>
                <w:rFonts w:ascii="Arial" w:eastAsia="Cambria" w:hAnsi="Arial" w:cs="Arial"/>
                <w:sz w:val="18"/>
                <w:szCs w:val="18"/>
              </w:rPr>
              <w:t>10</w:t>
            </w:r>
          </w:p>
        </w:tc>
        <w:tc>
          <w:tcPr>
            <w:tcW w:w="715" w:type="pct"/>
            <w:shd w:val="clear" w:color="auto" w:fill="F2F2F2" w:themeFill="background1" w:themeFillShade="F2"/>
            <w:vAlign w:val="center"/>
          </w:tcPr>
          <w:p w14:paraId="18A67D1D" w14:textId="77777777" w:rsidR="00AB5DC5" w:rsidRPr="003B7C22" w:rsidRDefault="00AB5DC5" w:rsidP="0074788B">
            <w:pPr>
              <w:spacing w:after="0" w:line="240" w:lineRule="auto"/>
              <w:jc w:val="center"/>
              <w:rPr>
                <w:rFonts w:ascii="Arial" w:hAnsi="Arial" w:cs="Arial"/>
                <w:b/>
                <w:bCs/>
                <w:sz w:val="18"/>
                <w:szCs w:val="18"/>
              </w:rPr>
            </w:pPr>
            <w:r w:rsidRPr="003B7C22">
              <w:rPr>
                <w:rFonts w:ascii="Arial" w:hAnsi="Arial" w:cs="Arial"/>
                <w:b/>
                <w:bCs/>
                <w:sz w:val="18"/>
                <w:szCs w:val="18"/>
              </w:rPr>
              <w:t>2.5</w:t>
            </w:r>
          </w:p>
        </w:tc>
      </w:tr>
      <w:tr w:rsidR="003B7C22" w:rsidRPr="003B7C22" w14:paraId="165DC7B8" w14:textId="77777777" w:rsidTr="003B7C22">
        <w:trPr>
          <w:trHeight w:val="99"/>
          <w:jc w:val="center"/>
        </w:trPr>
        <w:tc>
          <w:tcPr>
            <w:tcW w:w="282" w:type="pct"/>
            <w:shd w:val="clear" w:color="auto" w:fill="D9D9D9" w:themeFill="background1" w:themeFillShade="D9"/>
            <w:vAlign w:val="center"/>
          </w:tcPr>
          <w:p w14:paraId="7FD9C7D4" w14:textId="77777777" w:rsidR="00AB5DC5" w:rsidRPr="003B7C22" w:rsidRDefault="00AB5DC5" w:rsidP="0074788B">
            <w:pPr>
              <w:spacing w:after="0" w:line="240" w:lineRule="auto"/>
              <w:rPr>
                <w:rFonts w:ascii="Arial" w:hAnsi="Arial" w:cs="Arial"/>
                <w:b/>
                <w:bCs/>
                <w:sz w:val="18"/>
                <w:szCs w:val="18"/>
              </w:rPr>
            </w:pPr>
          </w:p>
        </w:tc>
        <w:tc>
          <w:tcPr>
            <w:tcW w:w="1740" w:type="pct"/>
            <w:shd w:val="clear" w:color="auto" w:fill="D9D9D9" w:themeFill="background1" w:themeFillShade="D9"/>
            <w:tcMar>
              <w:top w:w="0" w:type="dxa"/>
              <w:left w:w="108" w:type="dxa"/>
              <w:bottom w:w="0" w:type="dxa"/>
              <w:right w:w="108" w:type="dxa"/>
            </w:tcMar>
            <w:vAlign w:val="center"/>
            <w:hideMark/>
          </w:tcPr>
          <w:p w14:paraId="60D404FA" w14:textId="77777777" w:rsidR="00AB5DC5" w:rsidRPr="003B7C22" w:rsidRDefault="00AB5DC5" w:rsidP="0074788B">
            <w:pPr>
              <w:spacing w:after="0" w:line="240" w:lineRule="auto"/>
              <w:jc w:val="center"/>
              <w:rPr>
                <w:rFonts w:ascii="Arial" w:eastAsia="Cambria" w:hAnsi="Arial" w:cs="Arial"/>
                <w:b/>
                <w:bCs/>
                <w:sz w:val="18"/>
                <w:szCs w:val="18"/>
              </w:rPr>
            </w:pPr>
            <w:r w:rsidRPr="003B7C22">
              <w:rPr>
                <w:rFonts w:ascii="Arial" w:hAnsi="Arial" w:cs="Arial"/>
                <w:b/>
                <w:bCs/>
                <w:sz w:val="18"/>
                <w:szCs w:val="18"/>
              </w:rPr>
              <w:t>TOTAL</w:t>
            </w:r>
          </w:p>
        </w:tc>
        <w:tc>
          <w:tcPr>
            <w:tcW w:w="879" w:type="pct"/>
            <w:shd w:val="clear" w:color="auto" w:fill="D9D9D9" w:themeFill="background1" w:themeFillShade="D9"/>
            <w:tcMar>
              <w:top w:w="0" w:type="dxa"/>
              <w:left w:w="108" w:type="dxa"/>
              <w:bottom w:w="0" w:type="dxa"/>
              <w:right w:w="108" w:type="dxa"/>
            </w:tcMar>
            <w:vAlign w:val="center"/>
            <w:hideMark/>
          </w:tcPr>
          <w:p w14:paraId="40CFD97D" w14:textId="77777777" w:rsidR="00AB5DC5" w:rsidRPr="003B7C22" w:rsidRDefault="00AB5DC5" w:rsidP="0074788B">
            <w:pPr>
              <w:spacing w:after="0" w:line="240" w:lineRule="auto"/>
              <w:jc w:val="center"/>
              <w:rPr>
                <w:rFonts w:ascii="Arial" w:eastAsia="Cambria" w:hAnsi="Arial" w:cs="Arial"/>
                <w:b/>
                <w:bCs/>
                <w:sz w:val="18"/>
                <w:szCs w:val="18"/>
              </w:rPr>
            </w:pPr>
            <w:r w:rsidRPr="003B7C22">
              <w:rPr>
                <w:rFonts w:ascii="Arial" w:eastAsia="Cambria" w:hAnsi="Arial" w:cs="Arial"/>
                <w:b/>
                <w:bCs/>
                <w:sz w:val="18"/>
                <w:szCs w:val="18"/>
              </w:rPr>
              <w:t>25</w:t>
            </w:r>
          </w:p>
        </w:tc>
        <w:tc>
          <w:tcPr>
            <w:tcW w:w="685" w:type="pct"/>
            <w:shd w:val="clear" w:color="auto" w:fill="D9D9D9" w:themeFill="background1" w:themeFillShade="D9"/>
            <w:tcMar>
              <w:top w:w="0" w:type="dxa"/>
              <w:left w:w="108" w:type="dxa"/>
              <w:bottom w:w="0" w:type="dxa"/>
              <w:right w:w="108" w:type="dxa"/>
            </w:tcMar>
            <w:vAlign w:val="center"/>
            <w:hideMark/>
          </w:tcPr>
          <w:p w14:paraId="00D7751E" w14:textId="77777777" w:rsidR="00AB5DC5" w:rsidRPr="003B7C22" w:rsidRDefault="00AB5DC5" w:rsidP="0074788B">
            <w:pPr>
              <w:spacing w:after="0" w:line="240" w:lineRule="auto"/>
              <w:jc w:val="center"/>
              <w:rPr>
                <w:rFonts w:ascii="Arial" w:eastAsia="Cambria" w:hAnsi="Arial" w:cs="Arial"/>
                <w:b/>
                <w:bCs/>
                <w:sz w:val="18"/>
                <w:szCs w:val="18"/>
              </w:rPr>
            </w:pPr>
            <w:r w:rsidRPr="003B7C22">
              <w:rPr>
                <w:rFonts w:ascii="Arial" w:eastAsia="Cambria" w:hAnsi="Arial" w:cs="Arial"/>
                <w:b/>
                <w:bCs/>
                <w:sz w:val="18"/>
                <w:szCs w:val="18"/>
              </w:rPr>
              <w:t>25</w:t>
            </w:r>
          </w:p>
        </w:tc>
        <w:tc>
          <w:tcPr>
            <w:tcW w:w="700" w:type="pct"/>
            <w:shd w:val="clear" w:color="auto" w:fill="D9D9D9" w:themeFill="background1" w:themeFillShade="D9"/>
            <w:vAlign w:val="center"/>
          </w:tcPr>
          <w:p w14:paraId="64B4B82B" w14:textId="77777777" w:rsidR="00AB5DC5" w:rsidRPr="003B7C22" w:rsidRDefault="00AB5DC5" w:rsidP="0074788B">
            <w:pPr>
              <w:spacing w:after="0" w:line="240" w:lineRule="auto"/>
              <w:jc w:val="center"/>
              <w:rPr>
                <w:rFonts w:ascii="Arial" w:eastAsia="Cambria" w:hAnsi="Arial" w:cs="Arial"/>
                <w:b/>
                <w:bCs/>
                <w:sz w:val="18"/>
                <w:szCs w:val="18"/>
              </w:rPr>
            </w:pPr>
            <w:r w:rsidRPr="003B7C22">
              <w:rPr>
                <w:rFonts w:ascii="Arial" w:eastAsia="Cambria" w:hAnsi="Arial" w:cs="Arial"/>
                <w:b/>
                <w:bCs/>
                <w:sz w:val="18"/>
                <w:szCs w:val="18"/>
              </w:rPr>
              <w:t>55</w:t>
            </w:r>
          </w:p>
        </w:tc>
        <w:tc>
          <w:tcPr>
            <w:tcW w:w="715" w:type="pct"/>
            <w:shd w:val="clear" w:color="auto" w:fill="D9D9D9" w:themeFill="background1" w:themeFillShade="D9"/>
            <w:vAlign w:val="center"/>
          </w:tcPr>
          <w:p w14:paraId="040A3346" w14:textId="77777777" w:rsidR="00AB5DC5" w:rsidRPr="003B7C22" w:rsidRDefault="00AB5DC5" w:rsidP="0074788B">
            <w:pPr>
              <w:spacing w:after="0" w:line="240" w:lineRule="auto"/>
              <w:jc w:val="center"/>
              <w:rPr>
                <w:rFonts w:ascii="Arial" w:hAnsi="Arial" w:cs="Arial"/>
                <w:b/>
                <w:bCs/>
                <w:sz w:val="18"/>
                <w:szCs w:val="18"/>
              </w:rPr>
            </w:pPr>
            <w:r w:rsidRPr="003B7C22">
              <w:rPr>
                <w:rFonts w:ascii="Arial" w:hAnsi="Arial" w:cs="Arial"/>
                <w:b/>
                <w:bCs/>
                <w:sz w:val="18"/>
                <w:szCs w:val="18"/>
              </w:rPr>
              <w:t>2.2</w:t>
            </w:r>
          </w:p>
        </w:tc>
      </w:tr>
    </w:tbl>
    <w:p w14:paraId="6BE489C1" w14:textId="35AE9EE1" w:rsidR="00AB5DC5" w:rsidRDefault="00AB5DC5" w:rsidP="00A4624B">
      <w:pPr>
        <w:spacing w:after="0" w:line="276" w:lineRule="auto"/>
        <w:ind w:left="284"/>
        <w:jc w:val="both"/>
        <w:rPr>
          <w:lang w:val="es-ES"/>
        </w:rPr>
      </w:pPr>
    </w:p>
    <w:p w14:paraId="18A16FC8" w14:textId="77777777" w:rsidR="000865D2" w:rsidRPr="000865D2" w:rsidRDefault="000865D2" w:rsidP="000865D2">
      <w:pPr>
        <w:spacing w:after="0" w:line="276" w:lineRule="auto"/>
        <w:ind w:left="284"/>
        <w:jc w:val="both"/>
      </w:pPr>
      <w:r w:rsidRPr="000865D2">
        <w:rPr>
          <w:b/>
        </w:rPr>
        <w:t>Valoración cualitativa del Pp</w:t>
      </w:r>
      <w:r w:rsidRPr="000865D2">
        <w:t>: Para el mejoramiento del Pp F 064, Fomento a la Agricultura y su proyecto E007 Coberturas Anticipadas para Garantizar Precios Mínimos de Maíz en Apoyo a Pequeños Productores será necesario mejorar lo siguiente:</w:t>
      </w:r>
    </w:p>
    <w:p w14:paraId="25940F9D" w14:textId="11858E8F" w:rsidR="000865D2" w:rsidRPr="000865D2" w:rsidRDefault="000865D2" w:rsidP="000865D2">
      <w:pPr>
        <w:pStyle w:val="Prrafodelista"/>
        <w:numPr>
          <w:ilvl w:val="0"/>
          <w:numId w:val="31"/>
        </w:numPr>
        <w:spacing w:after="0" w:line="276" w:lineRule="auto"/>
        <w:jc w:val="both"/>
        <w:rPr>
          <w:lang w:val="es-ES"/>
        </w:rPr>
      </w:pPr>
      <w:r w:rsidRPr="000865D2">
        <w:rPr>
          <w:lang w:val="es-ES"/>
        </w:rPr>
        <w:t>Establecer un diagnóstico que cumpla con los requisitos establecidos para la elaboración de diagnóstico.</w:t>
      </w:r>
    </w:p>
    <w:p w14:paraId="3C27B2C2" w14:textId="6635A796" w:rsidR="000865D2" w:rsidRPr="000865D2" w:rsidRDefault="000865D2" w:rsidP="000865D2">
      <w:pPr>
        <w:pStyle w:val="Prrafodelista"/>
        <w:numPr>
          <w:ilvl w:val="0"/>
          <w:numId w:val="31"/>
        </w:numPr>
        <w:spacing w:after="0" w:line="276" w:lineRule="auto"/>
        <w:jc w:val="both"/>
        <w:rPr>
          <w:lang w:val="es-ES"/>
        </w:rPr>
      </w:pPr>
      <w:r w:rsidRPr="000865D2">
        <w:rPr>
          <w:lang w:val="es-ES"/>
        </w:rPr>
        <w:t>Que las ROP o documento similar se establezca una sola problemática que defina de manera clara el problema que da origen al programa, de igual forma es importante que señale y defina la cantidad de productores en tal situación para conocer la capacidad de atención que tendrá el programa.</w:t>
      </w:r>
    </w:p>
    <w:p w14:paraId="5A018335" w14:textId="1303C87F" w:rsidR="000865D2" w:rsidRPr="000865D2" w:rsidRDefault="000865D2" w:rsidP="000865D2">
      <w:pPr>
        <w:pStyle w:val="Prrafodelista"/>
        <w:numPr>
          <w:ilvl w:val="0"/>
          <w:numId w:val="31"/>
        </w:numPr>
        <w:spacing w:after="0" w:line="276" w:lineRule="auto"/>
        <w:jc w:val="both"/>
        <w:rPr>
          <w:lang w:val="es-ES"/>
        </w:rPr>
      </w:pPr>
      <w:r w:rsidRPr="000865D2">
        <w:rPr>
          <w:lang w:val="es-ES"/>
        </w:rPr>
        <w:t>Que el problema o necesidad delimita la situación en un contexto territorial de manera macro, es necesario contextualizar el problema de manera local y mostrar evidencia de cuánto tiempo se tiene con esta problemática, a partir de cuándo inicia y sustentar con información y/o estadísticas oficiales. Es indispensable considerar que el programa se sustente en un análisis del problema que considere el estado actual de los efectos en grupos poblacionales, territorios del estado o afectaciones en el medio ambiente.</w:t>
      </w:r>
    </w:p>
    <w:p w14:paraId="07137414" w14:textId="619A5032" w:rsidR="000865D2" w:rsidRPr="000865D2" w:rsidRDefault="000865D2" w:rsidP="000865D2">
      <w:pPr>
        <w:pStyle w:val="Prrafodelista"/>
        <w:numPr>
          <w:ilvl w:val="0"/>
          <w:numId w:val="31"/>
        </w:numPr>
        <w:spacing w:after="0" w:line="276" w:lineRule="auto"/>
        <w:jc w:val="both"/>
        <w:rPr>
          <w:lang w:val="es-ES"/>
        </w:rPr>
      </w:pPr>
      <w:r w:rsidRPr="000865D2">
        <w:rPr>
          <w:lang w:val="es-ES"/>
        </w:rPr>
        <w:lastRenderedPageBreak/>
        <w:t>En los documentos de planeación menciona datos diferentes a los mostrados en el padrón de beneficiarios del programa. Se sugiere implementar un mecanismo que permita manejar en tiempo y forma las cifras oficiales.</w:t>
      </w:r>
    </w:p>
    <w:p w14:paraId="1058E55B" w14:textId="5402ABCB" w:rsidR="000865D2" w:rsidRPr="000865D2" w:rsidRDefault="000865D2" w:rsidP="000865D2">
      <w:pPr>
        <w:pStyle w:val="Prrafodelista"/>
        <w:numPr>
          <w:ilvl w:val="0"/>
          <w:numId w:val="31"/>
        </w:numPr>
        <w:spacing w:after="0" w:line="276" w:lineRule="auto"/>
        <w:jc w:val="both"/>
        <w:rPr>
          <w:lang w:val="es-ES"/>
        </w:rPr>
      </w:pPr>
      <w:r w:rsidRPr="000865D2">
        <w:rPr>
          <w:lang w:val="es-ES"/>
        </w:rPr>
        <w:t>Las fechas de publicación de ROP y la convocatoria necesitan ser consistentes y deberá ser tomado esto en cuenta para futuras fechas y que exista una secuencia cronológica entre ambas.</w:t>
      </w:r>
    </w:p>
    <w:p w14:paraId="3D638F7A" w14:textId="5DAF3696" w:rsidR="000865D2" w:rsidRPr="000865D2" w:rsidRDefault="000865D2" w:rsidP="000865D2">
      <w:pPr>
        <w:pStyle w:val="Prrafodelista"/>
        <w:numPr>
          <w:ilvl w:val="0"/>
          <w:numId w:val="31"/>
        </w:numPr>
        <w:spacing w:after="0" w:line="276" w:lineRule="auto"/>
        <w:jc w:val="both"/>
        <w:rPr>
          <w:lang w:val="es-ES"/>
        </w:rPr>
      </w:pPr>
      <w:r w:rsidRPr="000865D2">
        <w:rPr>
          <w:lang w:val="es-ES"/>
        </w:rPr>
        <w:t>Que el micrositio de Transparencia de la SAyG se publiquen los documentos normativos ROP y Convocatoria y además la información de indicadores que permitan rendir cuenta de sus objetivos y resultados. Así también, el listado de personas físicas o morales a quienes asignó recursos y evidencia los informes del ejercicio trimestral del gasto.</w:t>
      </w:r>
    </w:p>
    <w:p w14:paraId="2F8416BC" w14:textId="10C68475" w:rsidR="000865D2" w:rsidRPr="000865D2" w:rsidRDefault="000865D2" w:rsidP="000865D2">
      <w:pPr>
        <w:pStyle w:val="Prrafodelista"/>
        <w:numPr>
          <w:ilvl w:val="0"/>
          <w:numId w:val="31"/>
        </w:numPr>
        <w:spacing w:after="0" w:line="276" w:lineRule="auto"/>
        <w:jc w:val="both"/>
        <w:rPr>
          <w:lang w:val="es-ES"/>
        </w:rPr>
      </w:pPr>
      <w:r w:rsidRPr="000865D2">
        <w:rPr>
          <w:lang w:val="es-ES"/>
        </w:rPr>
        <w:t>Es necesario que la Unidad Responsable del programa identifique y desglose los gastos de operación para tener claridad y realizar el análisis y justificación de cada uno de los criterios de valoración; así como, en su caso, las áreas de mejora identificadas y las recomendaciones que permitan el cumplimiento y/o la mejora de los criterios.</w:t>
      </w:r>
    </w:p>
    <w:p w14:paraId="0711F46F" w14:textId="792B0A42" w:rsidR="000865D2" w:rsidRPr="000865D2" w:rsidRDefault="000865D2" w:rsidP="000865D2">
      <w:pPr>
        <w:pStyle w:val="Prrafodelista"/>
        <w:numPr>
          <w:ilvl w:val="0"/>
          <w:numId w:val="31"/>
        </w:numPr>
        <w:spacing w:after="0" w:line="276" w:lineRule="auto"/>
        <w:jc w:val="both"/>
        <w:rPr>
          <w:lang w:val="es-ES"/>
        </w:rPr>
      </w:pPr>
      <w:r w:rsidRPr="000865D2">
        <w:rPr>
          <w:lang w:val="es-ES"/>
        </w:rPr>
        <w:t>Realizar una MIR de acuerdo a la Metodología del Marco Lógico de acuerdo a la Guía para el Diseño de la Matriz de Indicadores para Resultados de la SHCP. Y que esta MIR tenga coherencia con las ROP del programa.</w:t>
      </w:r>
    </w:p>
    <w:p w14:paraId="2B8472E8" w14:textId="77777777" w:rsidR="00AB5DC5" w:rsidRDefault="00AB5DC5"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735C23C6" w14:textId="77777777" w:rsidR="00883B3D" w:rsidRDefault="00883B3D" w:rsidP="00883B3D">
      <w:pPr>
        <w:pStyle w:val="Prrafodelista"/>
        <w:numPr>
          <w:ilvl w:val="0"/>
          <w:numId w:val="2"/>
        </w:numPr>
        <w:spacing w:after="0" w:line="276" w:lineRule="auto"/>
        <w:jc w:val="both"/>
      </w:pPr>
      <w:r>
        <w:t>Se recomienda hacer el análisis pertinente de los resultados del Programa Segalmex.</w:t>
      </w:r>
    </w:p>
    <w:p w14:paraId="30D545D6" w14:textId="77777777" w:rsidR="00883B3D" w:rsidRDefault="00883B3D" w:rsidP="00883B3D">
      <w:pPr>
        <w:pStyle w:val="Prrafodelista"/>
        <w:numPr>
          <w:ilvl w:val="0"/>
          <w:numId w:val="2"/>
        </w:numPr>
        <w:spacing w:after="0" w:line="276" w:lineRule="auto"/>
        <w:jc w:val="both"/>
      </w:pPr>
      <w:r>
        <w:t>Se recomienda mejorar los documentos de diagnóstico y MIR, así como algunos indicadores.</w:t>
      </w:r>
    </w:p>
    <w:p w14:paraId="29B4703B" w14:textId="41589067" w:rsidR="006E67EA" w:rsidRDefault="00883B3D" w:rsidP="00883B3D">
      <w:pPr>
        <w:pStyle w:val="Prrafodelista"/>
        <w:numPr>
          <w:ilvl w:val="0"/>
          <w:numId w:val="2"/>
        </w:numPr>
        <w:spacing w:after="0" w:line="276" w:lineRule="auto"/>
        <w:jc w:val="both"/>
      </w:pPr>
      <w:r>
        <w:t>Se debe homologar o generar congruencia con las metas entre el Pp y los documentos de planeación estatal.</w:t>
      </w:r>
    </w:p>
    <w:p w14:paraId="24EC2F31" w14:textId="77777777" w:rsidR="00883B3D" w:rsidRDefault="00883B3D" w:rsidP="00883B3D">
      <w:pPr>
        <w:pStyle w:val="Prrafodelista"/>
        <w:numPr>
          <w:ilvl w:val="0"/>
          <w:numId w:val="2"/>
        </w:numPr>
        <w:spacing w:after="0" w:line="276" w:lineRule="auto"/>
        <w:jc w:val="both"/>
      </w:pPr>
      <w:r>
        <w:t>A pesar de que el proyecto que se toma como objeto de estudio plantea alguno de los elementos de planeación con base en la MML. Se debe realizar el documento para el Pp.</w:t>
      </w:r>
    </w:p>
    <w:p w14:paraId="13DB283F" w14:textId="77777777" w:rsidR="00883B3D" w:rsidRDefault="00883B3D" w:rsidP="00883B3D">
      <w:pPr>
        <w:pStyle w:val="Prrafodelista"/>
        <w:numPr>
          <w:ilvl w:val="0"/>
          <w:numId w:val="2"/>
        </w:numPr>
        <w:spacing w:after="0" w:line="276" w:lineRule="auto"/>
        <w:jc w:val="both"/>
      </w:pPr>
      <w:r>
        <w:t>Es importante que señale y defina la cantidad de productores en tal situación para conocer la capacidad de atención que tendrá el programa</w:t>
      </w:r>
    </w:p>
    <w:p w14:paraId="59A3AA43" w14:textId="77777777" w:rsidR="00883B3D" w:rsidRDefault="00883B3D" w:rsidP="00883B3D">
      <w:pPr>
        <w:pStyle w:val="Prrafodelista"/>
        <w:numPr>
          <w:ilvl w:val="0"/>
          <w:numId w:val="2"/>
        </w:numPr>
        <w:spacing w:after="0" w:line="276" w:lineRule="auto"/>
        <w:jc w:val="both"/>
      </w:pPr>
      <w:r>
        <w:t>Contextualizar el problema de manera local y mostrar evidencia con información y/o estadísticas oficiales.</w:t>
      </w:r>
    </w:p>
    <w:p w14:paraId="76C7C113" w14:textId="77777777" w:rsidR="00883B3D" w:rsidRDefault="00883B3D" w:rsidP="00883B3D">
      <w:pPr>
        <w:pStyle w:val="Prrafodelista"/>
        <w:numPr>
          <w:ilvl w:val="0"/>
          <w:numId w:val="2"/>
        </w:numPr>
        <w:spacing w:after="0" w:line="276" w:lineRule="auto"/>
        <w:jc w:val="both"/>
      </w:pPr>
      <w:r>
        <w:t xml:space="preserve">Se debe diseñar una estrategia de cobertura que establezca metas que puedan conocer los niveles de atención en la población. </w:t>
      </w:r>
    </w:p>
    <w:p w14:paraId="05567BD1" w14:textId="77777777" w:rsidR="00883B3D" w:rsidRDefault="00883B3D" w:rsidP="00883B3D">
      <w:pPr>
        <w:pStyle w:val="Prrafodelista"/>
        <w:numPr>
          <w:ilvl w:val="0"/>
          <w:numId w:val="2"/>
        </w:numPr>
        <w:spacing w:after="0" w:line="276" w:lineRule="auto"/>
        <w:jc w:val="both"/>
      </w:pPr>
      <w:r>
        <w:t>Se debe realizar una síntesis que resuma el proceso por el que pasan las solicitudes y los trámites.</w:t>
      </w:r>
    </w:p>
    <w:p w14:paraId="61D8C329" w14:textId="77777777" w:rsidR="00883B3D" w:rsidRDefault="00883B3D" w:rsidP="00883B3D">
      <w:pPr>
        <w:pStyle w:val="Prrafodelista"/>
        <w:numPr>
          <w:ilvl w:val="0"/>
          <w:numId w:val="2"/>
        </w:numPr>
        <w:spacing w:after="0" w:line="276" w:lineRule="auto"/>
        <w:jc w:val="both"/>
      </w:pPr>
      <w:r>
        <w:t>Que exista una secuencia cronológica entre las ROP y Convocatoria.</w:t>
      </w:r>
    </w:p>
    <w:p w14:paraId="53C3EB9D" w14:textId="23D51697" w:rsidR="00883B3D" w:rsidRDefault="00883B3D" w:rsidP="00883B3D">
      <w:pPr>
        <w:pStyle w:val="Prrafodelista"/>
        <w:numPr>
          <w:ilvl w:val="0"/>
          <w:numId w:val="2"/>
        </w:numPr>
        <w:spacing w:after="0" w:line="276" w:lineRule="auto"/>
        <w:jc w:val="both"/>
      </w:pPr>
      <w:r>
        <w:t>Sistematizar la información</w:t>
      </w:r>
      <w:r w:rsidR="00AB5DC5">
        <w:t xml:space="preserve"> del </w:t>
      </w:r>
      <w:r w:rsidR="00AB5DC5" w:rsidRPr="00BC6ADE">
        <w:t>padrón de beneficiarios</w:t>
      </w:r>
      <w:r>
        <w:t>.</w:t>
      </w:r>
    </w:p>
    <w:p w14:paraId="1E32B935" w14:textId="77777777" w:rsidR="00883B3D" w:rsidRDefault="00883B3D" w:rsidP="00883B3D">
      <w:pPr>
        <w:pStyle w:val="Prrafodelista"/>
        <w:numPr>
          <w:ilvl w:val="0"/>
          <w:numId w:val="2"/>
        </w:numPr>
        <w:spacing w:after="0" w:line="276" w:lineRule="auto"/>
        <w:jc w:val="both"/>
      </w:pPr>
      <w:r>
        <w:t>Es necesario que realicen fichas técnicas de los indicadores donde se tenga información concerniente a los elementos mínimos necesarios.</w:t>
      </w:r>
    </w:p>
    <w:p w14:paraId="1AF7F18F" w14:textId="1E98DBA6" w:rsidR="00883B3D" w:rsidRDefault="00883B3D" w:rsidP="00883B3D">
      <w:pPr>
        <w:pStyle w:val="Prrafodelista"/>
        <w:numPr>
          <w:ilvl w:val="0"/>
          <w:numId w:val="2"/>
        </w:numPr>
        <w:spacing w:after="0" w:line="276" w:lineRule="auto"/>
        <w:jc w:val="both"/>
      </w:pPr>
      <w:r>
        <w:t>Sistematizar información y publicarla a</w:t>
      </w:r>
      <w:r w:rsidR="00AB5DC5">
        <w:t>l sitio de</w:t>
      </w:r>
      <w:r>
        <w:t xml:space="preserve"> Transparencia.</w:t>
      </w:r>
    </w:p>
    <w:p w14:paraId="7DA89E59" w14:textId="35F2D4B5" w:rsidR="00883B3D" w:rsidRPr="006E67EA" w:rsidRDefault="00883B3D" w:rsidP="00883B3D">
      <w:pPr>
        <w:pStyle w:val="Prrafodelista"/>
        <w:numPr>
          <w:ilvl w:val="0"/>
          <w:numId w:val="2"/>
        </w:numPr>
        <w:spacing w:after="0" w:line="276" w:lineRule="auto"/>
        <w:jc w:val="both"/>
      </w:pPr>
      <w:r>
        <w:t>Actualizar la MIR y continuar haciendo para ejercicios posteriores.</w:t>
      </w:r>
    </w:p>
    <w:p w14:paraId="6875A774" w14:textId="663A558F" w:rsidR="00CB48D8" w:rsidRDefault="00CB48D8">
      <w:pPr>
        <w:spacing w:after="0" w:line="240" w:lineRule="auto"/>
        <w:rPr>
          <w:b/>
          <w:bCs/>
          <w:color w:val="FFFFFF" w:themeColor="background1"/>
        </w:rPr>
      </w:pPr>
      <w:r>
        <w:rPr>
          <w:b/>
          <w:bCs/>
          <w:color w:val="FFFFFF" w:themeColor="background1"/>
        </w:rPr>
        <w:br w:type="page"/>
      </w: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EB39635" w:rsidR="007C4CD6" w:rsidRPr="00521401" w:rsidRDefault="00AB5DC5" w:rsidP="00521401">
            <w:pPr>
              <w:spacing w:after="0" w:line="276" w:lineRule="auto"/>
              <w:ind w:left="179"/>
            </w:pPr>
            <w:r w:rsidRPr="00AB5DC5">
              <w:t>Fomento a la Agricultura</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76104894" w:rsidR="007C4CD6" w:rsidRPr="007C4CD6" w:rsidRDefault="00AB5DC5" w:rsidP="00521401">
            <w:pPr>
              <w:spacing w:after="0" w:line="276" w:lineRule="auto"/>
              <w:ind w:left="179"/>
            </w:pPr>
            <w:r>
              <w:t>FA</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1C269852" w:rsidR="007C4CD6" w:rsidRPr="007C4CD6" w:rsidRDefault="00AB5DC5" w:rsidP="00AB5DC5">
            <w:pPr>
              <w:spacing w:after="0" w:line="276" w:lineRule="auto"/>
              <w:ind w:left="179"/>
            </w:pPr>
            <w:r>
              <w:t>Secretaría de Agricultura y Ganadería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2ADD2F8C" w:rsidR="005A28B9" w:rsidRPr="00A16BE7" w:rsidRDefault="00AB5DC5"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1418"/>
        <w:gridCol w:w="1984"/>
        <w:gridCol w:w="1268"/>
      </w:tblGrid>
      <w:tr w:rsidR="007C4CD6" w:rsidRPr="007C4CD6" w14:paraId="55A037F7" w14:textId="77777777" w:rsidTr="00F63EE1">
        <w:trPr>
          <w:trHeight w:val="340"/>
        </w:trPr>
        <w:tc>
          <w:tcPr>
            <w:tcW w:w="9915" w:type="dxa"/>
            <w:gridSpan w:val="5"/>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F63EE1">
        <w:trPr>
          <w:trHeight w:val="340"/>
        </w:trPr>
        <w:tc>
          <w:tcPr>
            <w:tcW w:w="3261"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gridSpan w:val="2"/>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gridSpan w:val="2"/>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F63EE1">
        <w:trPr>
          <w:trHeight w:val="340"/>
        </w:trPr>
        <w:tc>
          <w:tcPr>
            <w:tcW w:w="3261"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gridSpan w:val="2"/>
            <w:shd w:val="clear" w:color="auto" w:fill="auto"/>
            <w:vAlign w:val="center"/>
          </w:tcPr>
          <w:p w14:paraId="117D875F" w14:textId="5BE2483E" w:rsidR="00090637" w:rsidRPr="00090637" w:rsidRDefault="00DC5DCA" w:rsidP="00287214">
            <w:pPr>
              <w:spacing w:after="0" w:line="276" w:lineRule="auto"/>
              <w:jc w:val="center"/>
            </w:pPr>
            <w:r>
              <w:t>X</w:t>
            </w:r>
          </w:p>
        </w:tc>
        <w:tc>
          <w:tcPr>
            <w:tcW w:w="3252" w:type="dxa"/>
            <w:gridSpan w:val="2"/>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F63EE1">
        <w:trPr>
          <w:trHeight w:val="706"/>
        </w:trPr>
        <w:tc>
          <w:tcPr>
            <w:tcW w:w="9915" w:type="dxa"/>
            <w:gridSpan w:val="5"/>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F63EE1">
        <w:trPr>
          <w:trHeight w:val="340"/>
        </w:trPr>
        <w:tc>
          <w:tcPr>
            <w:tcW w:w="9915" w:type="dxa"/>
            <w:gridSpan w:val="5"/>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F63EE1">
        <w:trPr>
          <w:trHeight w:val="340"/>
        </w:trPr>
        <w:tc>
          <w:tcPr>
            <w:tcW w:w="9915" w:type="dxa"/>
            <w:gridSpan w:val="5"/>
            <w:shd w:val="clear" w:color="auto" w:fill="auto"/>
          </w:tcPr>
          <w:p w14:paraId="7091B8EA" w14:textId="0FBF8E09" w:rsidR="005065B9" w:rsidRPr="00521401" w:rsidRDefault="00645262" w:rsidP="005065B9">
            <w:pPr>
              <w:spacing w:after="0" w:line="276" w:lineRule="auto"/>
              <w:ind w:left="179"/>
            </w:pPr>
            <w:r>
              <w:t>Ramón Gallegos Araiza</w:t>
            </w:r>
          </w:p>
        </w:tc>
      </w:tr>
      <w:tr w:rsidR="00925C75" w:rsidRPr="00A753A2" w14:paraId="339ACE2F" w14:textId="77777777" w:rsidTr="00F63EE1">
        <w:trPr>
          <w:trHeight w:val="340"/>
        </w:trPr>
        <w:tc>
          <w:tcPr>
            <w:tcW w:w="9915" w:type="dxa"/>
            <w:gridSpan w:val="5"/>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F63EE1">
        <w:trPr>
          <w:trHeight w:val="340"/>
        </w:trPr>
        <w:tc>
          <w:tcPr>
            <w:tcW w:w="9915" w:type="dxa"/>
            <w:gridSpan w:val="5"/>
            <w:shd w:val="clear" w:color="auto" w:fill="auto"/>
          </w:tcPr>
          <w:p w14:paraId="54E4AA94" w14:textId="486D967B" w:rsidR="00A4624B" w:rsidRPr="007301C5" w:rsidRDefault="00645262" w:rsidP="00645262">
            <w:pPr>
              <w:spacing w:after="0" w:line="276" w:lineRule="auto"/>
              <w:ind w:left="179"/>
            </w:pPr>
            <w:hyperlink r:id="rId9" w:history="1">
              <w:r w:rsidRPr="00C01E22">
                <w:rPr>
                  <w:rStyle w:val="Hipervnculo"/>
                </w:rPr>
                <w:t>ramon.gallegos@sinaloa.gob.mx</w:t>
              </w:r>
            </w:hyperlink>
          </w:p>
        </w:tc>
      </w:tr>
      <w:tr w:rsidR="00A753A2" w:rsidRPr="00A753A2" w14:paraId="688D65F7" w14:textId="77777777" w:rsidTr="00F63EE1">
        <w:trPr>
          <w:trHeight w:val="340"/>
        </w:trPr>
        <w:tc>
          <w:tcPr>
            <w:tcW w:w="9915" w:type="dxa"/>
            <w:gridSpan w:val="5"/>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F63EE1">
        <w:trPr>
          <w:trHeight w:val="340"/>
        </w:trPr>
        <w:tc>
          <w:tcPr>
            <w:tcW w:w="9915" w:type="dxa"/>
            <w:gridSpan w:val="5"/>
            <w:shd w:val="clear" w:color="auto" w:fill="auto"/>
            <w:vAlign w:val="center"/>
          </w:tcPr>
          <w:p w14:paraId="138DA773" w14:textId="49391CE3" w:rsidR="004E1FF7" w:rsidRPr="007301C5" w:rsidRDefault="00645262" w:rsidP="004E1FF7">
            <w:pPr>
              <w:spacing w:after="0" w:line="276" w:lineRule="auto"/>
              <w:ind w:left="179"/>
            </w:pPr>
            <w:r>
              <w:t>Subsecretaría de Agricultura</w:t>
            </w:r>
          </w:p>
        </w:tc>
      </w:tr>
      <w:tr w:rsidR="004E1FF7" w:rsidRPr="00A753A2" w14:paraId="70A117C4" w14:textId="77777777" w:rsidTr="00F63EE1">
        <w:trPr>
          <w:trHeight w:val="340"/>
        </w:trPr>
        <w:tc>
          <w:tcPr>
            <w:tcW w:w="9915" w:type="dxa"/>
            <w:gridSpan w:val="5"/>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F63EE1">
        <w:trPr>
          <w:trHeight w:val="340"/>
        </w:trPr>
        <w:tc>
          <w:tcPr>
            <w:tcW w:w="9915" w:type="dxa"/>
            <w:gridSpan w:val="5"/>
            <w:shd w:val="clear" w:color="auto" w:fill="auto"/>
          </w:tcPr>
          <w:p w14:paraId="6F19C066" w14:textId="04F0C5BF" w:rsidR="004E1FF7" w:rsidRPr="007301C5" w:rsidRDefault="00645262" w:rsidP="004E1FF7">
            <w:pPr>
              <w:spacing w:after="0" w:line="276" w:lineRule="auto"/>
              <w:ind w:left="179"/>
            </w:pPr>
            <w:r>
              <w:t>(667) 7587000 ext. 40194</w:t>
            </w:r>
          </w:p>
        </w:tc>
      </w:tr>
      <w:tr w:rsidR="002C2D3A" w:rsidRPr="002C2D3A" w14:paraId="732B5D37" w14:textId="77777777" w:rsidTr="00F63EE1">
        <w:trPr>
          <w:trHeight w:val="340"/>
        </w:trPr>
        <w:tc>
          <w:tcPr>
            <w:tcW w:w="9915" w:type="dxa"/>
            <w:gridSpan w:val="5"/>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090637" w:rsidRPr="006C747D" w14:paraId="6A55E308" w14:textId="77777777" w:rsidTr="00F63EE1">
        <w:trPr>
          <w:trHeight w:val="340"/>
        </w:trPr>
        <w:tc>
          <w:tcPr>
            <w:tcW w:w="9915" w:type="dxa"/>
            <w:gridSpan w:val="5"/>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F63EE1">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gridSpan w:val="2"/>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8"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F63EE1">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gridSpan w:val="2"/>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8" w:type="dxa"/>
            <w:shd w:val="clear" w:color="auto" w:fill="auto"/>
            <w:vAlign w:val="center"/>
          </w:tcPr>
          <w:p w14:paraId="24663DF9" w14:textId="77777777" w:rsidR="00A06CEF" w:rsidRPr="00866990" w:rsidRDefault="00A06CEF" w:rsidP="00A06CEF">
            <w:pPr>
              <w:spacing w:after="0" w:line="276" w:lineRule="auto"/>
              <w:jc w:val="center"/>
            </w:pPr>
          </w:p>
        </w:tc>
      </w:tr>
      <w:tr w:rsidR="00F63EE1" w:rsidRPr="006C747D" w14:paraId="163531B5" w14:textId="77777777" w:rsidTr="00F63EE1">
        <w:trPr>
          <w:trHeight w:val="340"/>
        </w:trPr>
        <w:tc>
          <w:tcPr>
            <w:tcW w:w="3261" w:type="dxa"/>
            <w:shd w:val="clear" w:color="auto" w:fill="F2F2F2" w:themeFill="background1" w:themeFillShade="F2"/>
            <w:vAlign w:val="center"/>
          </w:tcPr>
          <w:p w14:paraId="00890009" w14:textId="77777777" w:rsidR="00F63EE1" w:rsidRPr="00866990" w:rsidRDefault="00F63EE1" w:rsidP="00F63EE1">
            <w:pPr>
              <w:spacing w:after="0" w:line="276" w:lineRule="auto"/>
              <w:ind w:left="447"/>
              <w:rPr>
                <w:b/>
                <w:bCs/>
              </w:rPr>
            </w:pPr>
            <w:r w:rsidRPr="00866990">
              <w:rPr>
                <w:b/>
                <w:bCs/>
              </w:rPr>
              <w:t>Otro (especificar):</w:t>
            </w:r>
          </w:p>
        </w:tc>
        <w:tc>
          <w:tcPr>
            <w:tcW w:w="6654" w:type="dxa"/>
            <w:gridSpan w:val="4"/>
            <w:shd w:val="clear" w:color="auto" w:fill="auto"/>
            <w:vAlign w:val="center"/>
          </w:tcPr>
          <w:p w14:paraId="22D310B8" w14:textId="51B5705D" w:rsidR="00F63EE1" w:rsidRPr="00866990" w:rsidRDefault="00F63EE1" w:rsidP="00F63EE1">
            <w:pPr>
              <w:spacing w:after="0" w:line="276" w:lineRule="auto"/>
            </w:pPr>
            <w:r>
              <w:t>No aplica</w:t>
            </w:r>
          </w:p>
        </w:tc>
      </w:tr>
      <w:tr w:rsidR="00090637" w:rsidRPr="006C747D" w14:paraId="26415400" w14:textId="77777777" w:rsidTr="00F63EE1">
        <w:trPr>
          <w:trHeight w:val="340"/>
        </w:trPr>
        <w:tc>
          <w:tcPr>
            <w:tcW w:w="9915" w:type="dxa"/>
            <w:gridSpan w:val="5"/>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F63EE1" w14:paraId="4305D4C3" w14:textId="77777777" w:rsidTr="00F63EE1">
        <w:trPr>
          <w:trHeight w:val="340"/>
        </w:trPr>
        <w:tc>
          <w:tcPr>
            <w:tcW w:w="9915" w:type="dxa"/>
            <w:gridSpan w:val="5"/>
            <w:shd w:val="clear" w:color="auto" w:fill="auto"/>
            <w:vAlign w:val="center"/>
          </w:tcPr>
          <w:p w14:paraId="334040E1" w14:textId="445B478B" w:rsidR="00F63EE1" w:rsidRPr="00866990" w:rsidRDefault="00F63EE1" w:rsidP="00F63EE1">
            <w:pPr>
              <w:spacing w:after="0" w:line="276" w:lineRule="auto"/>
              <w:ind w:left="179"/>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F63EE1">
        <w:trPr>
          <w:trHeight w:val="340"/>
        </w:trPr>
        <w:tc>
          <w:tcPr>
            <w:tcW w:w="9915" w:type="dxa"/>
            <w:gridSpan w:val="5"/>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F63EE1" w14:paraId="5CBDEAA7" w14:textId="77777777" w:rsidTr="00F63EE1">
        <w:trPr>
          <w:trHeight w:val="340"/>
        </w:trPr>
        <w:tc>
          <w:tcPr>
            <w:tcW w:w="9915" w:type="dxa"/>
            <w:gridSpan w:val="5"/>
            <w:shd w:val="clear" w:color="auto" w:fill="auto"/>
            <w:vAlign w:val="center"/>
          </w:tcPr>
          <w:p w14:paraId="2A2EB40C" w14:textId="25DF424C" w:rsidR="00F63EE1" w:rsidRPr="00866990" w:rsidRDefault="00F63EE1" w:rsidP="00F63EE1">
            <w:pPr>
              <w:spacing w:after="0" w:line="276" w:lineRule="auto"/>
              <w:ind w:left="179"/>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F63EE1">
        <w:trPr>
          <w:trHeight w:val="340"/>
        </w:trPr>
        <w:tc>
          <w:tcPr>
            <w:tcW w:w="9915" w:type="dxa"/>
            <w:gridSpan w:val="5"/>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F63EE1" w:rsidRPr="004C435E" w14:paraId="0EF2F8FE" w14:textId="77777777" w:rsidTr="00F63EE1">
        <w:trPr>
          <w:trHeight w:val="340"/>
        </w:trPr>
        <w:tc>
          <w:tcPr>
            <w:tcW w:w="9915" w:type="dxa"/>
            <w:gridSpan w:val="5"/>
            <w:shd w:val="clear" w:color="auto" w:fill="auto"/>
            <w:vAlign w:val="center"/>
          </w:tcPr>
          <w:p w14:paraId="7D64613A" w14:textId="09E33FA9" w:rsidR="00F63EE1" w:rsidRPr="00866990" w:rsidRDefault="00F63EE1" w:rsidP="00F63EE1">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6B8B" w14:textId="77777777" w:rsidR="00BC3EBF" w:rsidRDefault="00BC3EBF" w:rsidP="008E5209">
      <w:pPr>
        <w:spacing w:after="0" w:line="240" w:lineRule="auto"/>
      </w:pPr>
      <w:r>
        <w:separator/>
      </w:r>
    </w:p>
  </w:endnote>
  <w:endnote w:type="continuationSeparator" w:id="0">
    <w:p w14:paraId="45666636" w14:textId="77777777" w:rsidR="00BC3EBF" w:rsidRDefault="00BC3EBF"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36F5C42B"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CB48D8">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701711BC"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CB48D8" w:rsidRPr="00CB48D8">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EC7A" w14:textId="77777777" w:rsidR="00BC3EBF" w:rsidRDefault="00BC3EBF" w:rsidP="008E5209">
      <w:pPr>
        <w:spacing w:after="0" w:line="240" w:lineRule="auto"/>
      </w:pPr>
      <w:r>
        <w:separator/>
      </w:r>
    </w:p>
  </w:footnote>
  <w:footnote w:type="continuationSeparator" w:id="0">
    <w:p w14:paraId="7FA63D44" w14:textId="77777777" w:rsidR="00BC3EBF" w:rsidRDefault="00BC3EBF"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75pt;height:595.5pt" o:bullet="t">
        <v:imagedata r:id="rId1" o:title="03"/>
      </v:shape>
    </w:pict>
  </w:numPicBullet>
  <w:numPicBullet w:numPicBulletId="1">
    <w:pict>
      <v:shape id="_x0000_i1029" type="#_x0000_t75" style="width:282.75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220156"/>
    <w:multiLevelType w:val="hybridMultilevel"/>
    <w:tmpl w:val="E6A28C5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532262369">
    <w:abstractNumId w:val="23"/>
  </w:num>
  <w:num w:numId="2" w16cid:durableId="796215094">
    <w:abstractNumId w:val="21"/>
  </w:num>
  <w:num w:numId="3" w16cid:durableId="290014752">
    <w:abstractNumId w:val="7"/>
  </w:num>
  <w:num w:numId="4" w16cid:durableId="974331226">
    <w:abstractNumId w:val="19"/>
  </w:num>
  <w:num w:numId="5" w16cid:durableId="31154748">
    <w:abstractNumId w:val="2"/>
    <w:lvlOverride w:ilvl="1">
      <w:lvl w:ilvl="1">
        <w:start w:val="1"/>
        <w:numFmt w:val="decimal"/>
        <w:lvlText w:val="%1.%2."/>
        <w:lvlJc w:val="left"/>
        <w:pPr>
          <w:ind w:left="792" w:hanging="432"/>
        </w:pPr>
        <w:rPr>
          <w:b/>
        </w:rPr>
      </w:lvl>
    </w:lvlOverride>
  </w:num>
  <w:num w:numId="6" w16cid:durableId="1947809970">
    <w:abstractNumId w:val="28"/>
  </w:num>
  <w:num w:numId="7" w16cid:durableId="1861239799">
    <w:abstractNumId w:val="29"/>
  </w:num>
  <w:num w:numId="8" w16cid:durableId="2080976465">
    <w:abstractNumId w:val="30"/>
  </w:num>
  <w:num w:numId="9" w16cid:durableId="955873609">
    <w:abstractNumId w:val="20"/>
  </w:num>
  <w:num w:numId="10" w16cid:durableId="956107907">
    <w:abstractNumId w:val="12"/>
  </w:num>
  <w:num w:numId="11" w16cid:durableId="1509178214">
    <w:abstractNumId w:val="14"/>
  </w:num>
  <w:num w:numId="12" w16cid:durableId="716320673">
    <w:abstractNumId w:val="27"/>
  </w:num>
  <w:num w:numId="13" w16cid:durableId="248544578">
    <w:abstractNumId w:val="25"/>
  </w:num>
  <w:num w:numId="14" w16cid:durableId="586769000">
    <w:abstractNumId w:val="22"/>
  </w:num>
  <w:num w:numId="15" w16cid:durableId="924724929">
    <w:abstractNumId w:val="16"/>
  </w:num>
  <w:num w:numId="16" w16cid:durableId="260065679">
    <w:abstractNumId w:val="4"/>
  </w:num>
  <w:num w:numId="17" w16cid:durableId="1577321897">
    <w:abstractNumId w:val="6"/>
  </w:num>
  <w:num w:numId="18" w16cid:durableId="1672684480">
    <w:abstractNumId w:val="17"/>
  </w:num>
  <w:num w:numId="19" w16cid:durableId="1294991658">
    <w:abstractNumId w:val="15"/>
  </w:num>
  <w:num w:numId="20" w16cid:durableId="1520511364">
    <w:abstractNumId w:val="5"/>
  </w:num>
  <w:num w:numId="21" w16cid:durableId="1520579048">
    <w:abstractNumId w:val="3"/>
  </w:num>
  <w:num w:numId="22" w16cid:durableId="1183087362">
    <w:abstractNumId w:val="13"/>
  </w:num>
  <w:num w:numId="23" w16cid:durableId="658117748">
    <w:abstractNumId w:val="24"/>
  </w:num>
  <w:num w:numId="24" w16cid:durableId="1971285003">
    <w:abstractNumId w:val="11"/>
  </w:num>
  <w:num w:numId="25" w16cid:durableId="184634451">
    <w:abstractNumId w:val="18"/>
  </w:num>
  <w:num w:numId="26" w16cid:durableId="25297869">
    <w:abstractNumId w:val="8"/>
  </w:num>
  <w:num w:numId="27" w16cid:durableId="736976029">
    <w:abstractNumId w:val="10"/>
  </w:num>
  <w:num w:numId="28" w16cid:durableId="130101436">
    <w:abstractNumId w:val="0"/>
  </w:num>
  <w:num w:numId="29" w16cid:durableId="215629854">
    <w:abstractNumId w:val="9"/>
  </w:num>
  <w:num w:numId="30" w16cid:durableId="1117796001">
    <w:abstractNumId w:val="1"/>
  </w:num>
  <w:num w:numId="31" w16cid:durableId="305740445">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5E2D"/>
    <w:rsid w:val="00037498"/>
    <w:rsid w:val="00057C89"/>
    <w:rsid w:val="00063EAD"/>
    <w:rsid w:val="00067330"/>
    <w:rsid w:val="00072141"/>
    <w:rsid w:val="00076C94"/>
    <w:rsid w:val="00080258"/>
    <w:rsid w:val="00082BC3"/>
    <w:rsid w:val="00083A07"/>
    <w:rsid w:val="0008479E"/>
    <w:rsid w:val="00084948"/>
    <w:rsid w:val="000851A2"/>
    <w:rsid w:val="000865D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B7C22"/>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5262"/>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83B3D"/>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2C33"/>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5DC5"/>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3EBF"/>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48D8"/>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C5DCA"/>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54AED"/>
    <w:rsid w:val="00F62EC5"/>
    <w:rsid w:val="00F638EF"/>
    <w:rsid w:val="00F63EE1"/>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mon.gallegos@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E60D-CC65-4D78-9861-7F817A52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80</TotalTime>
  <Pages>6</Pages>
  <Words>2054</Words>
  <Characters>11300</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16</cp:revision>
  <cp:lastPrinted>2022-06-17T19:35:00Z</cp:lastPrinted>
  <dcterms:created xsi:type="dcterms:W3CDTF">2022-12-06T19:20:00Z</dcterms:created>
  <dcterms:modified xsi:type="dcterms:W3CDTF">2025-01-09T20:44:00Z</dcterms:modified>
</cp:coreProperties>
</file>